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广元市知识产权信息公共服务网点建设项目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知识产权专业培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训及宣传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具体要求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1" w:leftChars="304" w:hanging="963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kern w:val="44"/>
          <w:sz w:val="32"/>
          <w:szCs w:val="32"/>
        </w:rPr>
      </w:pPr>
    </w:p>
    <w:tbl>
      <w:tblPr>
        <w:tblStyle w:val="5"/>
        <w:tblpPr w:leftFromText="180" w:rightFromText="180" w:vertAnchor="text" w:horzAnchor="page" w:tblpX="1593" w:tblpY="184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53"/>
        <w:gridCol w:w="2970"/>
        <w:gridCol w:w="2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6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广元市知识产权信息公共服务网点建设项目</w:t>
            </w:r>
            <w:r>
              <w:rPr>
                <w:rFonts w:ascii="黑体" w:hAnsi="黑体" w:eastAsia="黑体" w:cs="黑体"/>
                <w:sz w:val="28"/>
                <w:szCs w:val="28"/>
              </w:rPr>
              <w:t>（</w:t>
            </w:r>
            <w:r>
              <w:rPr>
                <w:rFonts w:hint="eastAsia" w:ascii="黑体" w:eastAsia="黑体" w:cs="黑体"/>
                <w:sz w:val="28"/>
                <w:szCs w:val="28"/>
                <w:lang w:val="en-US" w:eastAsia="zh-CN" w:bidi="ar-SA"/>
              </w:rPr>
              <w:t>知识产权专业培训及宣传</w:t>
            </w:r>
            <w:r>
              <w:rPr>
                <w:rFonts w:ascii="黑体" w:hAnsi="黑体" w:eastAsia="黑体" w:cs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项目实施内容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6" w:lineRule="exact"/>
              <w:ind w:left="0" w:firstLine="120" w:firstLineChars="50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/>
              </w:rPr>
              <w:t>项目类别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6" w:lineRule="exact"/>
              <w:ind w:left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/>
              </w:rPr>
              <w:t>项目清单</w:t>
            </w:r>
          </w:p>
        </w:tc>
        <w:tc>
          <w:tcPr>
            <w:tcW w:w="29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6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</w:rPr>
              <w:t>具体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21"/>
                <w:sz w:val="24"/>
                <w:lang w:val="en-US" w:eastAsia="zh-CN" w:bidi="ar-SA"/>
              </w:rPr>
              <w:t>知识产权专业培训及宣传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6" w:lineRule="exact"/>
              <w:ind w:left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6" w:lineRule="exact"/>
              <w:ind w:left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6" w:lineRule="exact"/>
              <w:ind w:left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市民创客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培训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ind w:left="0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“广图知识产权充能站”（知识产权阅读推广活动品牌）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仿宋_GB2312" w:hAnsi="仿宋_GB2312" w:eastAsia="仿宋_GB2312" w:cs="仿宋_GB2312"/>
                <w:kern w:val="0"/>
              </w:rPr>
              <w:t>开展1次知识产权相关知识培训，课时不少于1小时（可与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中小企业</w:t>
            </w:r>
            <w:r>
              <w:rPr>
                <w:rFonts w:ascii="仿宋_GB2312" w:hAnsi="仿宋_GB2312" w:eastAsia="仿宋_GB2312" w:cs="仿宋_GB2312"/>
                <w:kern w:val="0"/>
              </w:rPr>
              <w:t>培训同时召开，同时召开课时不少于3小时，含实地参观，实地参观点位视情况而定），授课老师需为高校、科研院所或行业专家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6" w:lineRule="exact"/>
              <w:ind w:left="0"/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中小企业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培训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ind w:left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ind w:left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ind w:left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ind w:left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ind w:left="0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“知识产权创新护航培训”（侵权规避策略）  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仿宋_GB2312" w:hAnsi="仿宋_GB2312" w:eastAsia="仿宋_GB2312" w:cs="仿宋_GB2312"/>
                <w:kern w:val="0"/>
              </w:rPr>
              <w:t>开展1次知识产权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（侵权规避策略） </w:t>
            </w:r>
            <w:r>
              <w:rPr>
                <w:rFonts w:ascii="仿宋_GB2312" w:hAnsi="仿宋_GB2312" w:eastAsia="仿宋_GB2312" w:cs="仿宋_GB2312"/>
                <w:kern w:val="0"/>
              </w:rPr>
              <w:t>相关知识培训，课时不少于1小时（可与市民创客培训同时召开，同时召开课时不少于3小时，含实地参观，实地参观点位视情况而定），授课老师需为高校、科研院所或行业专家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6" w:lineRule="exact"/>
              <w:ind w:left="0"/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宣传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公众号开展《广图知识产权小课堂》活动品牌创建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lang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lang w:bidi="ar-SA"/>
              </w:rPr>
              <w:t>定期推送知识产权相关知识推文，不少于20期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76" w:lineRule="exact"/>
              <w:ind w:left="0"/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线下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宣传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ind w:left="0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知识产权专题展览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lang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lang w:bidi="ar-SA"/>
              </w:rPr>
              <w:t>策划知识产权主题展览，不少于2次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jc w:val="both"/>
        <w:rPr>
          <w:rFonts w:hint="eastAsia"/>
        </w:rPr>
      </w:pPr>
    </w:p>
    <w:p/>
    <w:sectPr>
      <w:pgSz w:w="11907" w:h="16839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D7B6E638"/>
    <w:rsid w:val="EFFFE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0</Words>
  <Characters>1201</Characters>
  <Lines>0</Lines>
  <Paragraphs>31</Paragraphs>
  <TotalTime>93</TotalTime>
  <ScaleCrop>false</ScaleCrop>
  <LinksUpToDate>false</LinksUpToDate>
  <CharactersWithSpaces>1602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2025-10-21T00:50:00Z</dcterms:created>
  <dc:creator>CBFDB</dc:creator>
  <cp:lastModifiedBy>user</cp:lastModifiedBy>
  <cp:lastPrinted>2026-01-26T17:19:00Z</cp:lastPrinted>
  <dcterms:modified xsi:type="dcterms:W3CDTF">2026-01-26T13:13:42Z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