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9"/>
        <w:rPr>
          <w:rFonts w:ascii="方正小标宋简体" w:hAnsi="宋体" w:eastAsia="方正小标宋简体"/>
          <w:szCs w:val="21"/>
        </w:rPr>
      </w:pPr>
      <w:bookmarkStart w:id="0" w:name="_Toc15306267"/>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adjustRightInd w:val="0"/>
        <w:snapToGrid w:val="0"/>
        <w:spacing w:line="360" w:lineRule="auto"/>
        <w:jc w:val="center"/>
        <w:outlineLvl w:val="0"/>
        <w:rPr>
          <w:rFonts w:hint="eastAsia" w:ascii="黑体" w:hAnsi="黑体" w:eastAsia="黑体" w:cs="黑体"/>
          <w:b/>
          <w:bCs/>
          <w:sz w:val="72"/>
          <w:szCs w:val="72"/>
        </w:rPr>
      </w:pPr>
      <w:bookmarkStart w:id="1" w:name="_Toc8309"/>
      <w:bookmarkStart w:id="2" w:name="_Toc15378441"/>
      <w:bookmarkStart w:id="3" w:name="_Toc19662"/>
      <w:bookmarkStart w:id="4" w:name="_Toc15396597"/>
      <w:bookmarkStart w:id="5" w:name="_Toc15377193"/>
      <w:bookmarkStart w:id="6" w:name="_Toc15396475"/>
      <w:bookmarkStart w:id="7" w:name="_Toc15377425"/>
      <w:r>
        <w:rPr>
          <w:rFonts w:hint="eastAsia" w:ascii="黑体" w:hAnsi="黑体" w:eastAsia="黑体" w:cs="黑体"/>
          <w:b/>
          <w:bCs/>
          <w:sz w:val="72"/>
          <w:szCs w:val="72"/>
        </w:rPr>
        <w:t>202</w:t>
      </w:r>
      <w:r>
        <w:rPr>
          <w:rFonts w:hint="eastAsia" w:ascii="黑体" w:hAnsi="黑体" w:eastAsia="黑体" w:cs="黑体"/>
          <w:b/>
          <w:bCs/>
          <w:sz w:val="72"/>
          <w:szCs w:val="72"/>
          <w:lang w:val="en-US" w:eastAsia="zh-CN"/>
        </w:rPr>
        <w:t>4</w:t>
      </w:r>
      <w:r>
        <w:rPr>
          <w:rFonts w:hint="eastAsia" w:ascii="黑体" w:hAnsi="黑体" w:eastAsia="黑体" w:cs="黑体"/>
          <w:b/>
          <w:bCs/>
          <w:sz w:val="72"/>
          <w:szCs w:val="72"/>
        </w:rPr>
        <w:t>年度</w:t>
      </w:r>
      <w:bookmarkEnd w:id="1"/>
      <w:bookmarkEnd w:id="2"/>
      <w:bookmarkEnd w:id="3"/>
      <w:bookmarkEnd w:id="4"/>
      <w:bookmarkEnd w:id="5"/>
      <w:bookmarkEnd w:id="6"/>
      <w:bookmarkEnd w:id="7"/>
    </w:p>
    <w:bookmarkEnd w:id="0"/>
    <w:p>
      <w:pPr>
        <w:adjustRightInd w:val="0"/>
        <w:snapToGrid w:val="0"/>
        <w:spacing w:line="360" w:lineRule="auto"/>
        <w:jc w:val="center"/>
        <w:outlineLvl w:val="0"/>
        <w:rPr>
          <w:rFonts w:hint="eastAsia" w:ascii="黑体" w:hAnsi="黑体" w:eastAsia="黑体" w:cs="黑体"/>
          <w:b/>
          <w:bCs/>
          <w:sz w:val="72"/>
          <w:szCs w:val="72"/>
        </w:rPr>
      </w:pPr>
      <w:bookmarkStart w:id="8" w:name="_Toc30767"/>
      <w:bookmarkStart w:id="9" w:name="_Toc15377426"/>
      <w:bookmarkStart w:id="10" w:name="_Toc15306268"/>
      <w:bookmarkStart w:id="11" w:name="_Toc15377194"/>
      <w:bookmarkStart w:id="12" w:name="_Toc15396598"/>
      <w:bookmarkStart w:id="13" w:name="_Toc15396476"/>
      <w:bookmarkStart w:id="14" w:name="_Toc15378442"/>
      <w:bookmarkStart w:id="15" w:name="_Toc32303"/>
      <w:r>
        <w:rPr>
          <w:rFonts w:hint="eastAsia" w:ascii="黑体" w:hAnsi="黑体" w:eastAsia="黑体" w:cs="黑体"/>
          <w:b/>
          <w:bCs/>
          <w:sz w:val="72"/>
          <w:szCs w:val="72"/>
        </w:rPr>
        <w:t>广元市博物馆决算</w:t>
      </w:r>
      <w:bookmarkEnd w:id="8"/>
      <w:bookmarkEnd w:id="9"/>
      <w:bookmarkEnd w:id="10"/>
      <w:bookmarkEnd w:id="11"/>
      <w:bookmarkEnd w:id="12"/>
      <w:bookmarkEnd w:id="13"/>
      <w:bookmarkEnd w:id="14"/>
      <w:bookmarkEnd w:id="15"/>
    </w:p>
    <w:p>
      <w:pPr>
        <w:widowControl/>
        <w:spacing w:line="576" w:lineRule="exact"/>
        <w:jc w:val="both"/>
        <w:rPr>
          <w:rFonts w:ascii="方正小标宋简体" w:hAnsi="宋体" w:eastAsia="方正小标宋简体"/>
          <w:sz w:val="36"/>
          <w:szCs w:val="36"/>
        </w:rPr>
      </w:pPr>
    </w:p>
    <w:p>
      <w:pPr>
        <w:widowControl/>
        <w:spacing w:line="576" w:lineRule="exact"/>
        <w:jc w:val="both"/>
        <w:rPr>
          <w:rFonts w:ascii="方正小标宋简体" w:hAnsi="宋体" w:eastAsia="方正小标宋简体"/>
          <w:sz w:val="36"/>
          <w:szCs w:val="36"/>
        </w:rPr>
      </w:pPr>
    </w:p>
    <w:p>
      <w:pPr>
        <w:widowControl/>
        <w:spacing w:line="576" w:lineRule="exact"/>
        <w:jc w:val="both"/>
        <w:rPr>
          <w:rFonts w:ascii="方正小标宋简体" w:hAnsi="宋体" w:eastAsia="方正小标宋简体"/>
          <w:sz w:val="36"/>
          <w:szCs w:val="36"/>
        </w:rPr>
      </w:pPr>
    </w:p>
    <w:p>
      <w:pPr>
        <w:widowControl/>
        <w:spacing w:line="576" w:lineRule="exact"/>
        <w:jc w:val="both"/>
        <w:rPr>
          <w:rFonts w:ascii="方正小标宋简体" w:hAnsi="宋体" w:eastAsia="方正小标宋简体"/>
          <w:sz w:val="36"/>
          <w:szCs w:val="36"/>
        </w:rPr>
      </w:pPr>
    </w:p>
    <w:p>
      <w:pPr>
        <w:widowControl/>
        <w:spacing w:line="576" w:lineRule="exact"/>
        <w:jc w:val="both"/>
        <w:rPr>
          <w:rFonts w:ascii="方正小标宋简体" w:hAnsi="宋体" w:eastAsia="方正小标宋简体"/>
          <w:sz w:val="36"/>
          <w:szCs w:val="36"/>
        </w:rPr>
      </w:pPr>
    </w:p>
    <w:p>
      <w:pPr>
        <w:widowControl/>
        <w:spacing w:line="576" w:lineRule="exact"/>
        <w:jc w:val="both"/>
        <w:rPr>
          <w:rFonts w:ascii="方正小标宋简体" w:hAnsi="宋体" w:eastAsia="方正小标宋简体"/>
          <w:sz w:val="36"/>
          <w:szCs w:val="36"/>
        </w:rPr>
      </w:pPr>
    </w:p>
    <w:p>
      <w:pPr>
        <w:widowControl/>
        <w:spacing w:line="576" w:lineRule="exact"/>
        <w:jc w:val="both"/>
        <w:rPr>
          <w:rFonts w:ascii="方正小标宋简体" w:hAnsi="宋体" w:eastAsia="方正小标宋简体"/>
          <w:sz w:val="36"/>
          <w:szCs w:val="36"/>
        </w:rPr>
      </w:pPr>
    </w:p>
    <w:p>
      <w:pPr>
        <w:widowControl/>
        <w:spacing w:line="576" w:lineRule="exact"/>
        <w:jc w:val="both"/>
        <w:rPr>
          <w:rFonts w:ascii="方正小标宋简体" w:hAnsi="宋体" w:eastAsia="方正小标宋简体"/>
          <w:sz w:val="36"/>
          <w:szCs w:val="36"/>
        </w:rPr>
      </w:pPr>
    </w:p>
    <w:p>
      <w:pPr>
        <w:widowControl/>
        <w:spacing w:line="576" w:lineRule="exact"/>
        <w:jc w:val="both"/>
        <w:rPr>
          <w:rFonts w:ascii="方正小标宋简体" w:hAnsi="宋体" w:eastAsia="方正小标宋简体"/>
          <w:sz w:val="36"/>
          <w:szCs w:val="36"/>
        </w:rPr>
      </w:pPr>
    </w:p>
    <w:p>
      <w:pPr>
        <w:widowControl/>
        <w:spacing w:line="576" w:lineRule="exact"/>
        <w:jc w:val="both"/>
        <w:rPr>
          <w:rFonts w:ascii="方正小标宋简体" w:hAnsi="宋体" w:eastAsia="方正小标宋简体"/>
          <w:sz w:val="36"/>
          <w:szCs w:val="36"/>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方正小标宋简体" w:hAnsi="宋体" w:eastAsia="方正小标宋简体"/>
          <w:sz w:val="36"/>
          <w:szCs w:val="36"/>
        </w:rPr>
      </w:pPr>
    </w:p>
    <w:p>
      <w:pPr>
        <w:keepNext w:val="0"/>
        <w:keepLines w:val="0"/>
        <w:pageBreakBefore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sz w:val="32"/>
          <w:szCs w:val="32"/>
        </w:rPr>
        <w:sectPr>
          <w:headerReference r:id="rId4" w:type="first"/>
          <w:headerReference r:id="rId3" w:type="default"/>
          <w:pgSz w:w="11906" w:h="16838"/>
          <w:pgMar w:top="2098" w:right="1474" w:bottom="1984" w:left="1587" w:header="851" w:footer="992" w:gutter="0"/>
          <w:pgNumType w:fmt="decimal" w:start="1"/>
          <w:cols w:space="425" w:num="1"/>
          <w:titlePg/>
          <w:docGrid w:type="lines" w:linePitch="312" w:charSpace="0"/>
        </w:sectPr>
      </w:pPr>
    </w:p>
    <w:p>
      <w:pPr>
        <w:spacing w:before="0" w:beforeLines="0" w:after="0" w:afterLines="0" w:line="240" w:lineRule="auto"/>
        <w:ind w:left="0" w:leftChars="0" w:right="0" w:rightChars="0" w:firstLine="0" w:firstLineChars="0"/>
        <w:jc w:val="center"/>
        <w:rPr>
          <w:rFonts w:hint="eastAsia" w:ascii="黑体" w:hAnsi="黑体" w:eastAsia="黑体" w:cs="黑体"/>
          <w:sz w:val="40"/>
          <w:szCs w:val="40"/>
        </w:rPr>
      </w:pPr>
      <w:r>
        <w:rPr>
          <w:rFonts w:hint="eastAsia" w:ascii="黑体" w:hAnsi="黑体" w:eastAsia="黑体" w:cs="黑体"/>
          <w:sz w:val="40"/>
          <w:szCs w:val="40"/>
        </w:rPr>
        <w:t>目</w:t>
      </w:r>
      <w:r>
        <w:rPr>
          <w:rFonts w:hint="eastAsia" w:ascii="黑体" w:hAnsi="黑体" w:eastAsia="黑体" w:cs="黑体"/>
          <w:sz w:val="40"/>
          <w:szCs w:val="40"/>
          <w:lang w:val="en-US" w:eastAsia="zh-CN"/>
        </w:rPr>
        <w:t xml:space="preserve">    </w:t>
      </w:r>
      <w:r>
        <w:rPr>
          <w:rFonts w:hint="eastAsia" w:ascii="黑体" w:hAnsi="黑体" w:eastAsia="黑体" w:cs="黑体"/>
          <w:sz w:val="40"/>
          <w:szCs w:val="40"/>
        </w:rPr>
        <w:t>录</w:t>
      </w:r>
    </w:p>
    <w:p>
      <w:pPr>
        <w:spacing w:before="0" w:beforeLines="0" w:after="0" w:afterLines="0" w:line="240" w:lineRule="auto"/>
        <w:ind w:left="0" w:leftChars="0" w:right="0" w:rightChars="0" w:firstLine="0" w:firstLineChars="0"/>
        <w:jc w:val="center"/>
        <w:rPr>
          <w:rFonts w:hint="eastAsia" w:ascii="黑体" w:hAnsi="黑体" w:eastAsia="黑体" w:cs="黑体"/>
          <w:sz w:val="24"/>
          <w:szCs w:val="24"/>
        </w:rPr>
      </w:pPr>
      <w:r>
        <w:rPr>
          <w:rFonts w:hint="eastAsia" w:ascii="宋体" w:hAnsi="宋体" w:eastAsia="宋体" w:cs="宋体"/>
          <w:sz w:val="24"/>
          <w:szCs w:val="24"/>
        </w:rPr>
        <w:t>公开时间：202</w:t>
      </w:r>
      <w:r>
        <w:rPr>
          <w:rFonts w:hint="eastAsia" w:ascii="宋体" w:hAnsi="宋体" w:cs="宋体"/>
          <w:sz w:val="24"/>
          <w:szCs w:val="24"/>
          <w:lang w:val="en-US" w:eastAsia="zh-CN"/>
        </w:rPr>
        <w:t>5</w:t>
      </w:r>
      <w:r>
        <w:rPr>
          <w:rFonts w:hint="eastAsia" w:ascii="宋体" w:hAnsi="宋体" w:eastAsia="宋体" w:cs="宋体"/>
          <w:sz w:val="24"/>
          <w:szCs w:val="24"/>
        </w:rPr>
        <w:t>年</w:t>
      </w:r>
      <w:r>
        <w:rPr>
          <w:rFonts w:hint="eastAsia" w:ascii="宋体" w:hAnsi="宋体" w:cs="宋体"/>
          <w:sz w:val="24"/>
          <w:szCs w:val="24"/>
          <w:lang w:val="en-US" w:eastAsia="zh-CN"/>
        </w:rPr>
        <w:t>10</w:t>
      </w:r>
      <w:r>
        <w:rPr>
          <w:rFonts w:hint="eastAsia" w:ascii="宋体" w:hAnsi="宋体" w:eastAsia="宋体" w:cs="宋体"/>
          <w:sz w:val="24"/>
          <w:szCs w:val="24"/>
        </w:rPr>
        <w:t>月</w:t>
      </w:r>
      <w:r>
        <w:rPr>
          <w:rFonts w:hint="eastAsia" w:ascii="宋体" w:hAnsi="宋体" w:cs="宋体"/>
          <w:sz w:val="24"/>
          <w:szCs w:val="24"/>
          <w:lang w:val="en-US" w:eastAsia="zh-CN"/>
        </w:rPr>
        <w:t>14</w:t>
      </w:r>
      <w:r>
        <w:rPr>
          <w:rFonts w:hint="eastAsia" w:ascii="宋体" w:hAnsi="宋体" w:eastAsia="宋体" w:cs="宋体"/>
          <w:sz w:val="24"/>
          <w:szCs w:val="24"/>
        </w:rPr>
        <w:t>日</w:t>
      </w:r>
    </w:p>
    <w:p>
      <w:pPr>
        <w:pStyle w:val="31"/>
        <w:tabs>
          <w:tab w:val="right" w:leader="dot" w:pos="8306"/>
        </w:tabs>
        <w:rPr>
          <w:b/>
        </w:rPr>
      </w:pPr>
      <w:r>
        <w:fldChar w:fldCharType="begin"/>
      </w:r>
      <w:r>
        <w:instrText xml:space="preserve">TOC \o "1-2" \h \u </w:instrText>
      </w:r>
      <w:r>
        <w:fldChar w:fldCharType="separate"/>
      </w:r>
    </w:p>
    <w:p>
      <w:pPr>
        <w:pStyle w:val="11"/>
        <w:bidi w:val="0"/>
        <w:rPr>
          <w:rFonts w:hint="eastAsia" w:ascii="宋体" w:hAnsi="宋体" w:eastAsia="宋体" w:cs="宋体"/>
          <w:b/>
          <w:sz w:val="22"/>
          <w:szCs w:val="22"/>
        </w:rPr>
      </w:pPr>
      <w:r>
        <w:rPr>
          <w:rFonts w:hint="eastAsia" w:ascii="宋体" w:hAnsi="宋体" w:eastAsia="宋体" w:cs="宋体"/>
          <w:b w:val="0"/>
          <w:bCs/>
          <w:sz w:val="22"/>
          <w:szCs w:val="22"/>
        </w:rPr>
        <w:fldChar w:fldCharType="begin"/>
      </w:r>
      <w:r>
        <w:rPr>
          <w:rFonts w:hint="eastAsia" w:ascii="宋体" w:hAnsi="宋体" w:eastAsia="宋体" w:cs="宋体"/>
          <w:b w:val="0"/>
          <w:bCs/>
          <w:sz w:val="22"/>
          <w:szCs w:val="22"/>
        </w:rPr>
        <w:instrText xml:space="preserve"> HYPERLINK \l _Toc13714 </w:instrText>
      </w:r>
      <w:r>
        <w:rPr>
          <w:rFonts w:hint="eastAsia" w:ascii="宋体" w:hAnsi="宋体" w:eastAsia="宋体" w:cs="宋体"/>
          <w:b w:val="0"/>
          <w:bCs/>
          <w:sz w:val="22"/>
          <w:szCs w:val="22"/>
        </w:rPr>
        <w:fldChar w:fldCharType="separate"/>
      </w:r>
      <w:r>
        <w:rPr>
          <w:rFonts w:hint="eastAsia" w:ascii="宋体" w:hAnsi="宋体" w:eastAsia="宋体" w:cs="宋体"/>
          <w:b/>
          <w:bCs w:val="0"/>
          <w:sz w:val="22"/>
          <w:szCs w:val="22"/>
        </w:rPr>
        <w:t>第一部分</w:t>
      </w:r>
      <w:r>
        <w:rPr>
          <w:rFonts w:hint="eastAsia" w:ascii="宋体" w:hAnsi="宋体" w:eastAsia="宋体" w:cs="宋体"/>
          <w:b/>
          <w:bCs w:val="0"/>
          <w:sz w:val="22"/>
          <w:szCs w:val="22"/>
          <w:lang w:val="en-US" w:eastAsia="zh-CN"/>
        </w:rPr>
        <w:t xml:space="preserve">  </w:t>
      </w:r>
      <w:r>
        <w:rPr>
          <w:rFonts w:hint="eastAsia" w:ascii="宋体" w:hAnsi="宋体" w:eastAsia="宋体" w:cs="宋体"/>
          <w:b/>
          <w:bCs w:val="0"/>
          <w:sz w:val="22"/>
          <w:szCs w:val="22"/>
        </w:rPr>
        <w:t>单位概况</w:t>
      </w:r>
      <w:r>
        <w:rPr>
          <w:rFonts w:hint="eastAsia" w:ascii="宋体" w:hAnsi="宋体" w:eastAsia="宋体" w:cs="宋体"/>
          <w:b w:val="0"/>
          <w:bCs/>
          <w:sz w:val="22"/>
          <w:szCs w:val="22"/>
        </w:rPr>
        <w:tab/>
      </w:r>
      <w:r>
        <w:rPr>
          <w:rFonts w:hint="eastAsia" w:ascii="宋体" w:hAnsi="宋体" w:eastAsia="宋体" w:cs="宋体"/>
          <w:b w:val="0"/>
          <w:bCs/>
          <w:sz w:val="22"/>
          <w:szCs w:val="22"/>
          <w:lang w:val="en-US" w:eastAsia="zh-CN"/>
        </w:rPr>
        <w:t>1</w:t>
      </w:r>
      <w:r>
        <w:rPr>
          <w:rFonts w:hint="eastAsia" w:ascii="宋体" w:hAnsi="宋体" w:eastAsia="宋体" w:cs="宋体"/>
          <w:b w:val="0"/>
          <w:bCs/>
          <w:sz w:val="22"/>
          <w:szCs w:val="22"/>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_Toc18661 </w:instrText>
      </w:r>
      <w:r>
        <w:rPr>
          <w:rFonts w:hint="eastAsia" w:ascii="宋体" w:hAnsi="宋体" w:eastAsia="宋体" w:cs="宋体"/>
          <w:sz w:val="22"/>
          <w:szCs w:val="22"/>
        </w:rPr>
        <w:fldChar w:fldCharType="separate"/>
      </w:r>
      <w:r>
        <w:rPr>
          <w:rFonts w:hint="eastAsia" w:ascii="宋体" w:hAnsi="宋体" w:eastAsia="宋体" w:cs="宋体"/>
          <w:bCs w:val="0"/>
          <w:sz w:val="22"/>
          <w:szCs w:val="22"/>
        </w:rPr>
        <w:t>一、主要职责</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_Toc18661 \h </w:instrText>
      </w:r>
      <w:r>
        <w:rPr>
          <w:rFonts w:hint="eastAsia" w:ascii="宋体" w:hAnsi="宋体" w:eastAsia="宋体" w:cs="宋体"/>
          <w:sz w:val="22"/>
          <w:szCs w:val="22"/>
        </w:rPr>
        <w:fldChar w:fldCharType="separate"/>
      </w:r>
      <w:r>
        <w:rPr>
          <w:rFonts w:hint="eastAsia" w:ascii="宋体" w:hAnsi="宋体" w:eastAsia="宋体" w:cs="宋体"/>
          <w:sz w:val="22"/>
          <w:szCs w:val="22"/>
        </w:rPr>
        <w:t>1</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_Toc8420 </w:instrText>
      </w:r>
      <w:r>
        <w:rPr>
          <w:rFonts w:hint="eastAsia" w:ascii="宋体" w:hAnsi="宋体" w:eastAsia="宋体" w:cs="宋体"/>
          <w:sz w:val="22"/>
          <w:szCs w:val="22"/>
        </w:rPr>
        <w:fldChar w:fldCharType="separate"/>
      </w:r>
      <w:r>
        <w:rPr>
          <w:rFonts w:hint="eastAsia" w:ascii="宋体" w:hAnsi="宋体" w:eastAsia="宋体" w:cs="宋体"/>
          <w:sz w:val="22"/>
          <w:szCs w:val="22"/>
        </w:rPr>
        <w:t>二、机构设置</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_Toc8420 \h </w:instrText>
      </w:r>
      <w:r>
        <w:rPr>
          <w:rFonts w:hint="eastAsia" w:ascii="宋体" w:hAnsi="宋体" w:eastAsia="宋体" w:cs="宋体"/>
          <w:sz w:val="22"/>
          <w:szCs w:val="22"/>
        </w:rPr>
        <w:fldChar w:fldCharType="separate"/>
      </w:r>
      <w:r>
        <w:rPr>
          <w:rFonts w:hint="eastAsia" w:ascii="宋体" w:hAnsi="宋体" w:eastAsia="宋体" w:cs="宋体"/>
          <w:sz w:val="22"/>
          <w:szCs w:val="22"/>
        </w:rPr>
        <w:t>1</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宋体"/>
          <w:b/>
          <w:sz w:val="22"/>
          <w:szCs w:val="22"/>
        </w:rPr>
      </w:pPr>
      <w:r>
        <w:rPr>
          <w:rFonts w:hint="eastAsia" w:ascii="宋体" w:hAnsi="宋体" w:eastAsia="宋体" w:cs="宋体"/>
          <w:b w:val="0"/>
          <w:bCs/>
          <w:sz w:val="22"/>
          <w:szCs w:val="22"/>
        </w:rPr>
        <w:fldChar w:fldCharType="begin"/>
      </w:r>
      <w:r>
        <w:rPr>
          <w:rFonts w:hint="eastAsia" w:ascii="宋体" w:hAnsi="宋体" w:eastAsia="宋体" w:cs="宋体"/>
          <w:b w:val="0"/>
          <w:bCs/>
          <w:sz w:val="22"/>
          <w:szCs w:val="22"/>
        </w:rPr>
        <w:instrText xml:space="preserve"> HYPERLINK \l _Toc26539 </w:instrText>
      </w:r>
      <w:r>
        <w:rPr>
          <w:rFonts w:hint="eastAsia" w:ascii="宋体" w:hAnsi="宋体" w:eastAsia="宋体" w:cs="宋体"/>
          <w:b w:val="0"/>
          <w:bCs/>
          <w:sz w:val="22"/>
          <w:szCs w:val="22"/>
        </w:rPr>
        <w:fldChar w:fldCharType="separate"/>
      </w:r>
      <w:r>
        <w:rPr>
          <w:rFonts w:hint="eastAsia" w:ascii="宋体" w:hAnsi="宋体" w:eastAsia="宋体" w:cs="宋体"/>
          <w:b/>
          <w:bCs w:val="0"/>
          <w:sz w:val="22"/>
          <w:szCs w:val="22"/>
        </w:rPr>
        <w:t>第二部分</w:t>
      </w:r>
      <w:r>
        <w:rPr>
          <w:rFonts w:hint="eastAsia" w:ascii="宋体" w:hAnsi="宋体" w:eastAsia="宋体" w:cs="宋体"/>
          <w:b/>
          <w:bCs w:val="0"/>
          <w:sz w:val="22"/>
          <w:szCs w:val="22"/>
          <w:lang w:val="en-US" w:eastAsia="zh-CN"/>
        </w:rPr>
        <w:t xml:space="preserve"> </w:t>
      </w:r>
      <w:r>
        <w:rPr>
          <w:rFonts w:hint="eastAsia" w:ascii="宋体" w:hAnsi="宋体" w:eastAsia="宋体" w:cs="宋体"/>
          <w:b/>
          <w:bCs w:val="0"/>
          <w:sz w:val="22"/>
          <w:szCs w:val="22"/>
        </w:rPr>
        <w:t xml:space="preserve"> 202</w:t>
      </w:r>
      <w:r>
        <w:rPr>
          <w:rFonts w:hint="eastAsia" w:ascii="宋体" w:hAnsi="宋体" w:cs="宋体"/>
          <w:b/>
          <w:bCs w:val="0"/>
          <w:sz w:val="22"/>
          <w:szCs w:val="22"/>
          <w:lang w:val="en-US" w:eastAsia="zh-CN"/>
        </w:rPr>
        <w:t>4</w:t>
      </w:r>
      <w:r>
        <w:rPr>
          <w:rFonts w:hint="eastAsia" w:ascii="宋体" w:hAnsi="宋体" w:eastAsia="宋体" w:cs="宋体"/>
          <w:b/>
          <w:bCs w:val="0"/>
          <w:sz w:val="22"/>
          <w:szCs w:val="22"/>
        </w:rPr>
        <w:t>年度单位决算情况说明</w:t>
      </w:r>
      <w:r>
        <w:rPr>
          <w:rFonts w:hint="eastAsia" w:ascii="宋体" w:hAnsi="宋体" w:eastAsia="宋体" w:cs="宋体"/>
          <w:b w:val="0"/>
          <w:bCs/>
          <w:sz w:val="22"/>
          <w:szCs w:val="22"/>
        </w:rPr>
        <w:tab/>
      </w:r>
      <w:r>
        <w:rPr>
          <w:rFonts w:hint="eastAsia" w:ascii="宋体" w:hAnsi="宋体" w:eastAsia="宋体" w:cs="宋体"/>
          <w:b w:val="0"/>
          <w:bCs/>
          <w:sz w:val="22"/>
          <w:szCs w:val="22"/>
        </w:rPr>
        <w:fldChar w:fldCharType="begin"/>
      </w:r>
      <w:r>
        <w:rPr>
          <w:rFonts w:hint="eastAsia" w:ascii="宋体" w:hAnsi="宋体" w:eastAsia="宋体" w:cs="宋体"/>
          <w:b w:val="0"/>
          <w:bCs/>
          <w:sz w:val="22"/>
          <w:szCs w:val="22"/>
        </w:rPr>
        <w:instrText xml:space="preserve"> PAGEREF _Toc26539 \h </w:instrText>
      </w:r>
      <w:r>
        <w:rPr>
          <w:rFonts w:hint="eastAsia" w:ascii="宋体" w:hAnsi="宋体" w:eastAsia="宋体" w:cs="宋体"/>
          <w:b w:val="0"/>
          <w:bCs/>
          <w:sz w:val="22"/>
          <w:szCs w:val="22"/>
        </w:rPr>
        <w:fldChar w:fldCharType="separate"/>
      </w:r>
      <w:r>
        <w:rPr>
          <w:rFonts w:hint="eastAsia" w:ascii="宋体" w:hAnsi="宋体" w:eastAsia="宋体" w:cs="宋体"/>
          <w:b w:val="0"/>
          <w:bCs/>
          <w:sz w:val="22"/>
          <w:szCs w:val="22"/>
        </w:rPr>
        <w:t>2</w:t>
      </w:r>
      <w:r>
        <w:rPr>
          <w:rFonts w:hint="eastAsia" w:ascii="宋体" w:hAnsi="宋体" w:eastAsia="宋体" w:cs="宋体"/>
          <w:b w:val="0"/>
          <w:bCs/>
          <w:sz w:val="22"/>
          <w:szCs w:val="22"/>
        </w:rPr>
        <w:fldChar w:fldCharType="end"/>
      </w:r>
      <w:r>
        <w:rPr>
          <w:rFonts w:hint="eastAsia" w:ascii="宋体" w:hAnsi="宋体" w:eastAsia="宋体" w:cs="宋体"/>
          <w:b w:val="0"/>
          <w:bCs/>
          <w:sz w:val="22"/>
          <w:szCs w:val="22"/>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_Toc22780 </w:instrText>
      </w:r>
      <w:r>
        <w:rPr>
          <w:rFonts w:hint="eastAsia" w:ascii="宋体" w:hAnsi="宋体" w:eastAsia="宋体" w:cs="宋体"/>
          <w:sz w:val="22"/>
          <w:szCs w:val="22"/>
        </w:rPr>
        <w:fldChar w:fldCharType="separate"/>
      </w:r>
      <w:r>
        <w:rPr>
          <w:rFonts w:hint="eastAsia" w:ascii="宋体" w:hAnsi="宋体" w:eastAsia="宋体" w:cs="宋体"/>
          <w:sz w:val="22"/>
          <w:szCs w:val="22"/>
        </w:rPr>
        <w:t>一、收入支出决算总体情况说明</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_Toc22780 \h </w:instrText>
      </w:r>
      <w:r>
        <w:rPr>
          <w:rFonts w:hint="eastAsia" w:ascii="宋体" w:hAnsi="宋体" w:eastAsia="宋体" w:cs="宋体"/>
          <w:sz w:val="22"/>
          <w:szCs w:val="22"/>
        </w:rPr>
        <w:fldChar w:fldCharType="separate"/>
      </w:r>
      <w:r>
        <w:rPr>
          <w:rFonts w:hint="eastAsia" w:ascii="宋体" w:hAnsi="宋体" w:eastAsia="宋体" w:cs="宋体"/>
          <w:sz w:val="22"/>
          <w:szCs w:val="22"/>
        </w:rPr>
        <w:t>2</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_Toc24139 </w:instrText>
      </w:r>
      <w:r>
        <w:rPr>
          <w:rFonts w:hint="eastAsia" w:ascii="宋体" w:hAnsi="宋体" w:eastAsia="宋体" w:cs="宋体"/>
          <w:sz w:val="22"/>
          <w:szCs w:val="22"/>
        </w:rPr>
        <w:fldChar w:fldCharType="separate"/>
      </w:r>
      <w:r>
        <w:rPr>
          <w:rFonts w:hint="eastAsia" w:ascii="宋体" w:hAnsi="宋体" w:eastAsia="宋体" w:cs="宋体"/>
          <w:sz w:val="22"/>
          <w:szCs w:val="22"/>
        </w:rPr>
        <w:t>二、收入决算情况说明</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_Toc24139 \h </w:instrText>
      </w:r>
      <w:r>
        <w:rPr>
          <w:rFonts w:hint="eastAsia" w:ascii="宋体" w:hAnsi="宋体" w:eastAsia="宋体" w:cs="宋体"/>
          <w:sz w:val="22"/>
          <w:szCs w:val="22"/>
        </w:rPr>
        <w:fldChar w:fldCharType="separate"/>
      </w:r>
      <w:r>
        <w:rPr>
          <w:rFonts w:hint="eastAsia" w:ascii="宋体" w:hAnsi="宋体" w:eastAsia="宋体" w:cs="宋体"/>
          <w:sz w:val="22"/>
          <w:szCs w:val="22"/>
        </w:rPr>
        <w:t>2</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_Toc28161 </w:instrText>
      </w:r>
      <w:r>
        <w:rPr>
          <w:rFonts w:hint="eastAsia" w:ascii="宋体" w:hAnsi="宋体" w:eastAsia="宋体" w:cs="宋体"/>
          <w:sz w:val="22"/>
          <w:szCs w:val="22"/>
        </w:rPr>
        <w:fldChar w:fldCharType="separate"/>
      </w:r>
      <w:r>
        <w:rPr>
          <w:rFonts w:hint="eastAsia" w:ascii="宋体" w:hAnsi="宋体" w:eastAsia="宋体" w:cs="宋体"/>
          <w:sz w:val="22"/>
          <w:szCs w:val="22"/>
        </w:rPr>
        <w:t>三、支出决算情况说明</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_Toc28161 \h </w:instrText>
      </w:r>
      <w:r>
        <w:rPr>
          <w:rFonts w:hint="eastAsia" w:ascii="宋体" w:hAnsi="宋体" w:eastAsia="宋体" w:cs="宋体"/>
          <w:sz w:val="22"/>
          <w:szCs w:val="22"/>
        </w:rPr>
        <w:fldChar w:fldCharType="separate"/>
      </w:r>
      <w:r>
        <w:rPr>
          <w:rFonts w:hint="eastAsia" w:ascii="宋体" w:hAnsi="宋体" w:eastAsia="宋体" w:cs="宋体"/>
          <w:sz w:val="22"/>
          <w:szCs w:val="22"/>
        </w:rPr>
        <w:t>3</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_Toc3836 </w:instrText>
      </w:r>
      <w:r>
        <w:rPr>
          <w:rFonts w:hint="eastAsia" w:ascii="宋体" w:hAnsi="宋体" w:eastAsia="宋体" w:cs="宋体"/>
          <w:sz w:val="22"/>
          <w:szCs w:val="22"/>
        </w:rPr>
        <w:fldChar w:fldCharType="separate"/>
      </w:r>
      <w:r>
        <w:rPr>
          <w:rFonts w:hint="eastAsia" w:ascii="宋体" w:hAnsi="宋体" w:eastAsia="宋体" w:cs="宋体"/>
          <w:sz w:val="22"/>
          <w:szCs w:val="22"/>
        </w:rPr>
        <w:t>四、财政拨款收入支出决算总体情况说明</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_Toc3836 \h </w:instrText>
      </w:r>
      <w:r>
        <w:rPr>
          <w:rFonts w:hint="eastAsia" w:ascii="宋体" w:hAnsi="宋体" w:eastAsia="宋体" w:cs="宋体"/>
          <w:sz w:val="22"/>
          <w:szCs w:val="22"/>
        </w:rPr>
        <w:fldChar w:fldCharType="separate"/>
      </w:r>
      <w:r>
        <w:rPr>
          <w:rFonts w:hint="eastAsia" w:ascii="宋体" w:hAnsi="宋体" w:eastAsia="宋体" w:cs="宋体"/>
          <w:sz w:val="22"/>
          <w:szCs w:val="22"/>
        </w:rPr>
        <w:t>3</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_Toc30965 </w:instrText>
      </w:r>
      <w:r>
        <w:rPr>
          <w:rFonts w:hint="eastAsia" w:ascii="宋体" w:hAnsi="宋体" w:eastAsia="宋体" w:cs="宋体"/>
          <w:sz w:val="22"/>
          <w:szCs w:val="22"/>
        </w:rPr>
        <w:fldChar w:fldCharType="separate"/>
      </w:r>
      <w:r>
        <w:rPr>
          <w:rFonts w:hint="eastAsia" w:ascii="宋体" w:hAnsi="宋体" w:eastAsia="宋体" w:cs="宋体"/>
          <w:sz w:val="22"/>
          <w:szCs w:val="22"/>
        </w:rPr>
        <w:t>五、一般公共预算财政拨款支出决算情况说明</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_Toc30965 \h </w:instrText>
      </w:r>
      <w:r>
        <w:rPr>
          <w:rFonts w:hint="eastAsia" w:ascii="宋体" w:hAnsi="宋体" w:eastAsia="宋体" w:cs="宋体"/>
          <w:sz w:val="22"/>
          <w:szCs w:val="22"/>
        </w:rPr>
        <w:fldChar w:fldCharType="separate"/>
      </w:r>
      <w:r>
        <w:rPr>
          <w:rFonts w:hint="eastAsia" w:ascii="宋体" w:hAnsi="宋体" w:eastAsia="宋体" w:cs="宋体"/>
          <w:sz w:val="22"/>
          <w:szCs w:val="22"/>
        </w:rPr>
        <w:t>4</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_Toc8437 </w:instrText>
      </w:r>
      <w:r>
        <w:rPr>
          <w:rFonts w:hint="eastAsia" w:ascii="宋体" w:hAnsi="宋体" w:eastAsia="宋体" w:cs="宋体"/>
          <w:sz w:val="22"/>
          <w:szCs w:val="22"/>
        </w:rPr>
        <w:fldChar w:fldCharType="separate"/>
      </w:r>
      <w:r>
        <w:rPr>
          <w:rFonts w:hint="eastAsia" w:ascii="宋体" w:hAnsi="宋体" w:eastAsia="宋体" w:cs="宋体"/>
          <w:sz w:val="22"/>
          <w:szCs w:val="22"/>
        </w:rPr>
        <w:t>六、一般公共预算财政拨款基本支出决算情况说明</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_Toc8437 \h </w:instrText>
      </w:r>
      <w:r>
        <w:rPr>
          <w:rFonts w:hint="eastAsia" w:ascii="宋体" w:hAnsi="宋体" w:eastAsia="宋体" w:cs="宋体"/>
          <w:sz w:val="22"/>
          <w:szCs w:val="22"/>
        </w:rPr>
        <w:fldChar w:fldCharType="separate"/>
      </w:r>
      <w:r>
        <w:rPr>
          <w:rFonts w:hint="eastAsia" w:ascii="宋体" w:hAnsi="宋体" w:eastAsia="宋体" w:cs="宋体"/>
          <w:sz w:val="22"/>
          <w:szCs w:val="22"/>
        </w:rPr>
        <w:t>7</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_Toc28430 </w:instrText>
      </w:r>
      <w:r>
        <w:rPr>
          <w:rFonts w:hint="eastAsia" w:ascii="宋体" w:hAnsi="宋体" w:eastAsia="宋体" w:cs="宋体"/>
          <w:sz w:val="22"/>
          <w:szCs w:val="22"/>
        </w:rPr>
        <w:fldChar w:fldCharType="separate"/>
      </w:r>
      <w:r>
        <w:rPr>
          <w:rFonts w:hint="eastAsia" w:ascii="宋体" w:hAnsi="宋体" w:eastAsia="宋体" w:cs="宋体"/>
          <w:sz w:val="22"/>
          <w:szCs w:val="22"/>
        </w:rPr>
        <w:t>七、财政拨款“三公”经费支出决算情况说明</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_Toc28430 \h </w:instrText>
      </w:r>
      <w:r>
        <w:rPr>
          <w:rFonts w:hint="eastAsia" w:ascii="宋体" w:hAnsi="宋体" w:eastAsia="宋体" w:cs="宋体"/>
          <w:sz w:val="22"/>
          <w:szCs w:val="22"/>
        </w:rPr>
        <w:fldChar w:fldCharType="separate"/>
      </w:r>
      <w:r>
        <w:rPr>
          <w:rFonts w:hint="eastAsia" w:ascii="宋体" w:hAnsi="宋体" w:eastAsia="宋体" w:cs="宋体"/>
          <w:sz w:val="22"/>
          <w:szCs w:val="22"/>
        </w:rPr>
        <w:t>7</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_Toc14390 </w:instrText>
      </w:r>
      <w:r>
        <w:rPr>
          <w:rFonts w:hint="eastAsia" w:ascii="宋体" w:hAnsi="宋体" w:eastAsia="宋体" w:cs="宋体"/>
          <w:sz w:val="22"/>
          <w:szCs w:val="22"/>
        </w:rPr>
        <w:fldChar w:fldCharType="separate"/>
      </w:r>
      <w:r>
        <w:rPr>
          <w:rFonts w:hint="eastAsia" w:ascii="宋体" w:hAnsi="宋体" w:eastAsia="宋体" w:cs="宋体"/>
          <w:bCs/>
          <w:sz w:val="22"/>
          <w:szCs w:val="22"/>
        </w:rPr>
        <w:t>八、</w:t>
      </w:r>
      <w:r>
        <w:rPr>
          <w:rFonts w:hint="eastAsia" w:ascii="宋体" w:hAnsi="宋体" w:eastAsia="宋体" w:cs="宋体"/>
          <w:sz w:val="22"/>
          <w:szCs w:val="22"/>
        </w:rPr>
        <w:t>政府性基金预算支出决算情况说明</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_Toc14390 \h </w:instrText>
      </w:r>
      <w:r>
        <w:rPr>
          <w:rFonts w:hint="eastAsia" w:ascii="宋体" w:hAnsi="宋体" w:eastAsia="宋体" w:cs="宋体"/>
          <w:sz w:val="22"/>
          <w:szCs w:val="22"/>
        </w:rPr>
        <w:fldChar w:fldCharType="separate"/>
      </w:r>
      <w:r>
        <w:rPr>
          <w:rFonts w:hint="eastAsia" w:ascii="宋体" w:hAnsi="宋体" w:eastAsia="宋体" w:cs="宋体"/>
          <w:sz w:val="22"/>
          <w:szCs w:val="22"/>
        </w:rPr>
        <w:t>9</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_Toc15383 </w:instrText>
      </w:r>
      <w:r>
        <w:rPr>
          <w:rFonts w:hint="eastAsia" w:ascii="宋体" w:hAnsi="宋体" w:eastAsia="宋体" w:cs="宋体"/>
          <w:sz w:val="22"/>
          <w:szCs w:val="22"/>
        </w:rPr>
        <w:fldChar w:fldCharType="separate"/>
      </w:r>
      <w:r>
        <w:rPr>
          <w:rFonts w:hint="eastAsia" w:ascii="宋体" w:hAnsi="宋体" w:eastAsia="宋体" w:cs="宋体"/>
          <w:sz w:val="22"/>
          <w:szCs w:val="22"/>
        </w:rPr>
        <w:t>九、国有资本经营预算支出决算情况说明</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_Toc15383 \h </w:instrText>
      </w:r>
      <w:r>
        <w:rPr>
          <w:rFonts w:hint="eastAsia" w:ascii="宋体" w:hAnsi="宋体" w:eastAsia="宋体" w:cs="宋体"/>
          <w:sz w:val="22"/>
          <w:szCs w:val="22"/>
        </w:rPr>
        <w:fldChar w:fldCharType="separate"/>
      </w:r>
      <w:r>
        <w:rPr>
          <w:rFonts w:hint="eastAsia" w:ascii="宋体" w:hAnsi="宋体" w:eastAsia="宋体" w:cs="宋体"/>
          <w:sz w:val="22"/>
          <w:szCs w:val="22"/>
        </w:rPr>
        <w:t>9</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_Toc25947 </w:instrText>
      </w:r>
      <w:r>
        <w:rPr>
          <w:rFonts w:hint="eastAsia" w:ascii="宋体" w:hAnsi="宋体" w:eastAsia="宋体" w:cs="宋体"/>
          <w:sz w:val="22"/>
          <w:szCs w:val="22"/>
        </w:rPr>
        <w:fldChar w:fldCharType="separate"/>
      </w:r>
      <w:r>
        <w:rPr>
          <w:rFonts w:hint="eastAsia" w:ascii="宋体" w:hAnsi="宋体" w:eastAsia="宋体" w:cs="宋体"/>
          <w:sz w:val="22"/>
          <w:szCs w:val="22"/>
        </w:rPr>
        <w:t>十、 其他重要事项的情况说明</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_Toc25947 \h </w:instrText>
      </w:r>
      <w:r>
        <w:rPr>
          <w:rFonts w:hint="eastAsia" w:ascii="宋体" w:hAnsi="宋体" w:eastAsia="宋体" w:cs="宋体"/>
          <w:sz w:val="22"/>
          <w:szCs w:val="22"/>
        </w:rPr>
        <w:fldChar w:fldCharType="separate"/>
      </w:r>
      <w:r>
        <w:rPr>
          <w:rFonts w:hint="eastAsia" w:ascii="宋体" w:hAnsi="宋体" w:eastAsia="宋体" w:cs="宋体"/>
          <w:sz w:val="22"/>
          <w:szCs w:val="22"/>
        </w:rPr>
        <w:t>9</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41" w:firstLineChars="200"/>
        <w:textAlignment w:val="auto"/>
        <w:rPr>
          <w:rFonts w:hint="eastAsia" w:ascii="宋体" w:hAnsi="宋体" w:eastAsia="宋体" w:cs="宋体"/>
          <w:sz w:val="22"/>
          <w:szCs w:val="22"/>
        </w:rPr>
      </w:pPr>
      <w:r>
        <w:rPr>
          <w:rFonts w:hint="eastAsia" w:ascii="宋体" w:hAnsi="宋体" w:eastAsia="宋体" w:cs="宋体"/>
          <w:b/>
          <w:sz w:val="22"/>
          <w:szCs w:val="22"/>
        </w:rPr>
        <w:fldChar w:fldCharType="begin"/>
      </w:r>
      <w:r>
        <w:rPr>
          <w:rFonts w:hint="eastAsia" w:ascii="宋体" w:hAnsi="宋体" w:eastAsia="宋体" w:cs="宋体"/>
          <w:b/>
          <w:sz w:val="22"/>
          <w:szCs w:val="22"/>
        </w:rPr>
        <w:instrText xml:space="preserve"> HYPERLINK \l _Toc4613 </w:instrText>
      </w:r>
      <w:r>
        <w:rPr>
          <w:rFonts w:hint="eastAsia" w:ascii="宋体" w:hAnsi="宋体" w:eastAsia="宋体" w:cs="宋体"/>
          <w:b/>
          <w:sz w:val="22"/>
          <w:szCs w:val="22"/>
        </w:rPr>
        <w:fldChar w:fldCharType="separate"/>
      </w:r>
      <w:r>
        <w:rPr>
          <w:rFonts w:hint="eastAsia" w:ascii="宋体" w:hAnsi="宋体" w:eastAsia="宋体" w:cs="宋体"/>
          <w:b/>
          <w:bCs/>
          <w:sz w:val="22"/>
          <w:szCs w:val="22"/>
        </w:rPr>
        <w:t>第三部分</w:t>
      </w:r>
      <w:r>
        <w:rPr>
          <w:rFonts w:hint="eastAsia" w:ascii="宋体" w:hAnsi="宋体" w:eastAsia="宋体" w:cs="宋体"/>
          <w:b/>
          <w:bCs/>
          <w:sz w:val="22"/>
          <w:szCs w:val="22"/>
          <w:lang w:val="en-US" w:eastAsia="zh-CN"/>
        </w:rPr>
        <w:t xml:space="preserve">  </w:t>
      </w:r>
      <w:r>
        <w:rPr>
          <w:rFonts w:hint="eastAsia" w:ascii="宋体" w:hAnsi="宋体" w:eastAsia="宋体" w:cs="宋体"/>
          <w:b/>
          <w:bCs/>
          <w:sz w:val="22"/>
          <w:szCs w:val="22"/>
        </w:rPr>
        <w:t>名词解释</w:t>
      </w:r>
      <w:r>
        <w:rPr>
          <w:rFonts w:hint="eastAsia" w:ascii="宋体" w:hAnsi="宋体" w:eastAsia="宋体" w:cs="宋体"/>
          <w:b w:val="0"/>
          <w:bCs/>
          <w:sz w:val="22"/>
          <w:szCs w:val="22"/>
        </w:rPr>
        <w:tab/>
      </w:r>
      <w:r>
        <w:rPr>
          <w:rFonts w:hint="eastAsia" w:ascii="宋体" w:hAnsi="宋体" w:eastAsia="宋体" w:cs="宋体"/>
          <w:b w:val="0"/>
          <w:bCs/>
          <w:sz w:val="22"/>
          <w:szCs w:val="22"/>
        </w:rPr>
        <w:fldChar w:fldCharType="begin"/>
      </w:r>
      <w:r>
        <w:rPr>
          <w:rFonts w:hint="eastAsia" w:ascii="宋体" w:hAnsi="宋体" w:eastAsia="宋体" w:cs="宋体"/>
          <w:b w:val="0"/>
          <w:bCs/>
          <w:sz w:val="22"/>
          <w:szCs w:val="22"/>
        </w:rPr>
        <w:instrText xml:space="preserve"> PAGEREF _Toc4613 \h </w:instrText>
      </w:r>
      <w:r>
        <w:rPr>
          <w:rFonts w:hint="eastAsia" w:ascii="宋体" w:hAnsi="宋体" w:eastAsia="宋体" w:cs="宋体"/>
          <w:b w:val="0"/>
          <w:bCs/>
          <w:sz w:val="22"/>
          <w:szCs w:val="22"/>
        </w:rPr>
        <w:fldChar w:fldCharType="separate"/>
      </w:r>
      <w:r>
        <w:rPr>
          <w:rFonts w:hint="eastAsia" w:ascii="宋体" w:hAnsi="宋体" w:eastAsia="宋体" w:cs="宋体"/>
          <w:b w:val="0"/>
          <w:bCs/>
          <w:sz w:val="22"/>
          <w:szCs w:val="22"/>
        </w:rPr>
        <w:t>11</w:t>
      </w:r>
      <w:r>
        <w:rPr>
          <w:rFonts w:hint="eastAsia" w:ascii="宋体" w:hAnsi="宋体" w:eastAsia="宋体" w:cs="宋体"/>
          <w:b w:val="0"/>
          <w:bCs/>
          <w:sz w:val="22"/>
          <w:szCs w:val="22"/>
        </w:rPr>
        <w:fldChar w:fldCharType="end"/>
      </w:r>
      <w:r>
        <w:rPr>
          <w:rFonts w:hint="eastAsia" w:ascii="宋体" w:hAnsi="宋体" w:eastAsia="宋体" w:cs="宋体"/>
          <w:b/>
          <w:sz w:val="22"/>
          <w:szCs w:val="22"/>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41" w:firstLineChars="200"/>
        <w:textAlignment w:val="auto"/>
        <w:rPr>
          <w:rFonts w:hint="default" w:ascii="宋体" w:hAnsi="宋体" w:eastAsia="宋体" w:cs="宋体"/>
          <w:b w:val="0"/>
          <w:bCs/>
          <w:sz w:val="22"/>
          <w:szCs w:val="22"/>
          <w:lang w:val="en-US" w:eastAsia="zh-CN"/>
        </w:rPr>
      </w:pPr>
      <w:r>
        <w:rPr>
          <w:rFonts w:hint="eastAsia" w:ascii="宋体" w:hAnsi="宋体" w:eastAsia="宋体" w:cs="宋体"/>
          <w:b/>
          <w:sz w:val="22"/>
          <w:szCs w:val="22"/>
        </w:rPr>
        <w:fldChar w:fldCharType="begin"/>
      </w:r>
      <w:r>
        <w:rPr>
          <w:rFonts w:hint="eastAsia" w:ascii="宋体" w:hAnsi="宋体" w:eastAsia="宋体" w:cs="宋体"/>
          <w:b/>
          <w:sz w:val="22"/>
          <w:szCs w:val="22"/>
        </w:rPr>
        <w:instrText xml:space="preserve"> HYPERLINK \l _Toc27015 </w:instrText>
      </w:r>
      <w:r>
        <w:rPr>
          <w:rFonts w:hint="eastAsia" w:ascii="宋体" w:hAnsi="宋体" w:eastAsia="宋体" w:cs="宋体"/>
          <w:b/>
          <w:sz w:val="22"/>
          <w:szCs w:val="22"/>
        </w:rPr>
        <w:fldChar w:fldCharType="separate"/>
      </w:r>
      <w:r>
        <w:rPr>
          <w:rFonts w:hint="eastAsia" w:ascii="宋体" w:hAnsi="宋体" w:eastAsia="宋体" w:cs="宋体"/>
          <w:b/>
          <w:sz w:val="22"/>
          <w:szCs w:val="22"/>
        </w:rPr>
        <w:t xml:space="preserve">第四部分 </w:t>
      </w:r>
      <w:r>
        <w:rPr>
          <w:rFonts w:hint="eastAsia" w:ascii="宋体" w:hAnsi="宋体" w:eastAsia="宋体" w:cs="宋体"/>
          <w:b/>
          <w:sz w:val="22"/>
          <w:szCs w:val="22"/>
          <w:lang w:val="en-US" w:eastAsia="zh-CN"/>
        </w:rPr>
        <w:t xml:space="preserve"> </w:t>
      </w:r>
      <w:r>
        <w:rPr>
          <w:rFonts w:hint="eastAsia" w:ascii="宋体" w:hAnsi="宋体" w:eastAsia="宋体" w:cs="宋体"/>
          <w:b/>
          <w:sz w:val="22"/>
          <w:szCs w:val="22"/>
        </w:rPr>
        <w:t>附件</w:t>
      </w:r>
      <w:r>
        <w:rPr>
          <w:rFonts w:hint="eastAsia" w:ascii="宋体" w:hAnsi="宋体" w:cs="宋体"/>
          <w:b w:val="0"/>
          <w:bCs/>
          <w:sz w:val="22"/>
          <w:szCs w:val="22"/>
          <w:lang w:eastAsia="zh-CN"/>
        </w:rPr>
        <w:t>（</w:t>
      </w:r>
      <w:r>
        <w:rPr>
          <w:rFonts w:hint="eastAsia" w:ascii="宋体" w:hAnsi="宋体" w:cs="宋体"/>
          <w:b w:val="0"/>
          <w:bCs/>
          <w:sz w:val="22"/>
          <w:szCs w:val="22"/>
          <w:lang w:val="en-US" w:eastAsia="zh-CN"/>
        </w:rPr>
        <w:t>13个</w:t>
      </w:r>
      <w:r>
        <w:rPr>
          <w:rFonts w:hint="eastAsia" w:ascii="宋体" w:hAnsi="宋体" w:cs="宋体"/>
          <w:b w:val="0"/>
          <w:bCs/>
          <w:sz w:val="22"/>
          <w:szCs w:val="22"/>
          <w:lang w:eastAsia="zh-CN"/>
        </w:rPr>
        <w:t>）</w:t>
      </w:r>
      <w:r>
        <w:rPr>
          <w:rFonts w:hint="eastAsia" w:ascii="宋体" w:hAnsi="宋体" w:eastAsia="宋体" w:cs="宋体"/>
          <w:b w:val="0"/>
          <w:bCs/>
          <w:sz w:val="22"/>
          <w:szCs w:val="22"/>
        </w:rPr>
        <w:tab/>
      </w:r>
      <w:r>
        <w:rPr>
          <w:rFonts w:hint="eastAsia" w:ascii="宋体" w:hAnsi="宋体" w:eastAsia="宋体" w:cs="宋体"/>
          <w:b w:val="0"/>
          <w:bCs/>
          <w:sz w:val="22"/>
          <w:szCs w:val="22"/>
        </w:rPr>
        <w:fldChar w:fldCharType="begin"/>
      </w:r>
      <w:r>
        <w:rPr>
          <w:rFonts w:hint="eastAsia" w:ascii="宋体" w:hAnsi="宋体" w:eastAsia="宋体" w:cs="宋体"/>
          <w:b w:val="0"/>
          <w:bCs/>
          <w:sz w:val="22"/>
          <w:szCs w:val="22"/>
        </w:rPr>
        <w:instrText xml:space="preserve"> PAGEREF _Toc27015 \h </w:instrText>
      </w:r>
      <w:r>
        <w:rPr>
          <w:rFonts w:hint="eastAsia" w:ascii="宋体" w:hAnsi="宋体" w:eastAsia="宋体" w:cs="宋体"/>
          <w:b w:val="0"/>
          <w:bCs/>
          <w:sz w:val="22"/>
          <w:szCs w:val="22"/>
        </w:rPr>
        <w:fldChar w:fldCharType="separate"/>
      </w:r>
      <w:r>
        <w:rPr>
          <w:rFonts w:hint="eastAsia" w:ascii="宋体" w:hAnsi="宋体" w:eastAsia="宋体" w:cs="宋体"/>
          <w:b w:val="0"/>
          <w:bCs/>
          <w:sz w:val="22"/>
          <w:szCs w:val="22"/>
        </w:rPr>
        <w:t>13</w:t>
      </w:r>
      <w:r>
        <w:rPr>
          <w:rFonts w:hint="eastAsia" w:ascii="宋体" w:hAnsi="宋体" w:eastAsia="宋体" w:cs="宋体"/>
          <w:b w:val="0"/>
          <w:bCs/>
          <w:sz w:val="22"/>
          <w:szCs w:val="22"/>
        </w:rPr>
        <w:fldChar w:fldCharType="end"/>
      </w:r>
      <w:r>
        <w:rPr>
          <w:rFonts w:hint="eastAsia" w:ascii="宋体" w:hAnsi="宋体" w:eastAsia="宋体" w:cs="宋体"/>
          <w:b/>
          <w:sz w:val="22"/>
          <w:szCs w:val="22"/>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41" w:firstLineChars="200"/>
        <w:textAlignment w:val="auto"/>
        <w:rPr>
          <w:rFonts w:hint="eastAsia" w:ascii="宋体" w:hAnsi="宋体" w:eastAsia="宋体" w:cs="宋体"/>
          <w:b/>
          <w:sz w:val="22"/>
          <w:szCs w:val="22"/>
        </w:rPr>
      </w:pPr>
      <w:r>
        <w:rPr>
          <w:rFonts w:hint="eastAsia" w:ascii="宋体" w:hAnsi="宋体" w:eastAsia="宋体" w:cs="宋体"/>
          <w:b/>
          <w:sz w:val="22"/>
          <w:szCs w:val="22"/>
        </w:rPr>
        <w:fldChar w:fldCharType="begin"/>
      </w:r>
      <w:r>
        <w:rPr>
          <w:rFonts w:hint="eastAsia" w:ascii="宋体" w:hAnsi="宋体" w:eastAsia="宋体" w:cs="宋体"/>
          <w:b/>
          <w:sz w:val="22"/>
          <w:szCs w:val="22"/>
        </w:rPr>
        <w:instrText xml:space="preserve"> HYPERLINK \l _Toc28837 </w:instrText>
      </w:r>
      <w:r>
        <w:rPr>
          <w:rFonts w:hint="eastAsia" w:ascii="宋体" w:hAnsi="宋体" w:eastAsia="宋体" w:cs="宋体"/>
          <w:b/>
          <w:sz w:val="22"/>
          <w:szCs w:val="22"/>
        </w:rPr>
        <w:fldChar w:fldCharType="separate"/>
      </w:r>
      <w:r>
        <w:rPr>
          <w:rFonts w:hint="eastAsia" w:ascii="宋体" w:hAnsi="宋体" w:eastAsia="宋体" w:cs="宋体"/>
          <w:b/>
          <w:bCs/>
          <w:sz w:val="22"/>
          <w:szCs w:val="22"/>
        </w:rPr>
        <w:t>第</w:t>
      </w:r>
      <w:r>
        <w:rPr>
          <w:rFonts w:hint="eastAsia" w:ascii="宋体" w:hAnsi="宋体" w:eastAsia="宋体" w:cs="宋体"/>
          <w:b/>
          <w:sz w:val="22"/>
          <w:szCs w:val="22"/>
        </w:rPr>
        <w:t xml:space="preserve">五部分 </w:t>
      </w:r>
      <w:r>
        <w:rPr>
          <w:rFonts w:hint="eastAsia" w:ascii="宋体" w:hAnsi="宋体" w:eastAsia="宋体" w:cs="宋体"/>
          <w:b/>
          <w:sz w:val="22"/>
          <w:szCs w:val="22"/>
          <w:lang w:val="en-US" w:eastAsia="zh-CN"/>
        </w:rPr>
        <w:t xml:space="preserve"> </w:t>
      </w:r>
      <w:r>
        <w:rPr>
          <w:rFonts w:hint="eastAsia" w:ascii="宋体" w:hAnsi="宋体" w:eastAsia="宋体" w:cs="宋体"/>
          <w:b/>
          <w:sz w:val="22"/>
          <w:szCs w:val="22"/>
        </w:rPr>
        <w:t>附表</w:t>
      </w:r>
      <w:r>
        <w:rPr>
          <w:rFonts w:hint="eastAsia" w:ascii="宋体" w:hAnsi="宋体" w:eastAsia="宋体" w:cs="宋体"/>
          <w:b w:val="0"/>
          <w:bCs/>
          <w:sz w:val="22"/>
          <w:szCs w:val="22"/>
        </w:rPr>
        <w:tab/>
      </w:r>
      <w:r>
        <w:rPr>
          <w:rFonts w:hint="eastAsia" w:ascii="宋体" w:hAnsi="宋体" w:eastAsia="宋体" w:cs="宋体"/>
          <w:b w:val="0"/>
          <w:bCs/>
          <w:sz w:val="22"/>
          <w:szCs w:val="22"/>
        </w:rPr>
        <w:fldChar w:fldCharType="begin"/>
      </w:r>
      <w:r>
        <w:rPr>
          <w:rFonts w:hint="eastAsia" w:ascii="宋体" w:hAnsi="宋体" w:eastAsia="宋体" w:cs="宋体"/>
          <w:b w:val="0"/>
          <w:bCs/>
          <w:sz w:val="22"/>
          <w:szCs w:val="22"/>
        </w:rPr>
        <w:instrText xml:space="preserve"> PAGEREF _Toc28837 \h </w:instrText>
      </w:r>
      <w:r>
        <w:rPr>
          <w:rFonts w:hint="eastAsia" w:ascii="宋体" w:hAnsi="宋体" w:eastAsia="宋体" w:cs="宋体"/>
          <w:b w:val="0"/>
          <w:bCs/>
          <w:sz w:val="22"/>
          <w:szCs w:val="22"/>
        </w:rPr>
        <w:fldChar w:fldCharType="separate"/>
      </w:r>
      <w:r>
        <w:rPr>
          <w:rFonts w:hint="eastAsia" w:ascii="宋体" w:hAnsi="宋体" w:eastAsia="宋体" w:cs="宋体"/>
          <w:b w:val="0"/>
          <w:bCs/>
          <w:sz w:val="22"/>
          <w:szCs w:val="22"/>
        </w:rPr>
        <w:t>36</w:t>
      </w:r>
      <w:r>
        <w:rPr>
          <w:rFonts w:hint="eastAsia" w:ascii="宋体" w:hAnsi="宋体" w:eastAsia="宋体" w:cs="宋体"/>
          <w:b w:val="0"/>
          <w:bCs/>
          <w:sz w:val="22"/>
          <w:szCs w:val="22"/>
        </w:rPr>
        <w:fldChar w:fldCharType="end"/>
      </w:r>
      <w:r>
        <w:rPr>
          <w:rFonts w:hint="eastAsia" w:ascii="宋体" w:hAnsi="宋体" w:eastAsia="宋体" w:cs="宋体"/>
          <w:b/>
          <w:sz w:val="22"/>
          <w:szCs w:val="22"/>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_Toc9226 </w:instrText>
      </w:r>
      <w:r>
        <w:rPr>
          <w:rFonts w:hint="eastAsia" w:ascii="宋体" w:hAnsi="宋体" w:eastAsia="宋体" w:cs="宋体"/>
          <w:sz w:val="22"/>
          <w:szCs w:val="22"/>
        </w:rPr>
        <w:fldChar w:fldCharType="separate"/>
      </w:r>
      <w:r>
        <w:rPr>
          <w:rFonts w:hint="eastAsia" w:ascii="宋体" w:hAnsi="宋体" w:eastAsia="宋体" w:cs="宋体"/>
          <w:sz w:val="22"/>
          <w:szCs w:val="22"/>
        </w:rPr>
        <w:t>一、收</w:t>
      </w:r>
      <w:r>
        <w:rPr>
          <w:rFonts w:hint="eastAsia" w:ascii="宋体" w:hAnsi="宋体" w:eastAsia="宋体" w:cs="宋体"/>
          <w:bCs w:val="0"/>
          <w:sz w:val="22"/>
          <w:szCs w:val="22"/>
        </w:rPr>
        <w:t>入支出决算总表</w:t>
      </w:r>
      <w:r>
        <w:rPr>
          <w:rFonts w:hint="eastAsia" w:ascii="宋体" w:hAnsi="宋体" w:eastAsia="宋体" w:cs="宋体"/>
          <w:sz w:val="22"/>
          <w:szCs w:val="22"/>
        </w:rPr>
        <w:tab/>
      </w:r>
      <w:r>
        <w:rPr>
          <w:rFonts w:hint="eastAsia" w:ascii="宋体" w:hAnsi="宋体" w:eastAsia="宋体" w:cs="宋体"/>
          <w:b w:val="0"/>
          <w:bCs/>
          <w:sz w:val="22"/>
          <w:szCs w:val="22"/>
        </w:rPr>
        <w:fldChar w:fldCharType="begin"/>
      </w:r>
      <w:r>
        <w:rPr>
          <w:rFonts w:hint="eastAsia" w:ascii="宋体" w:hAnsi="宋体" w:eastAsia="宋体" w:cs="宋体"/>
          <w:b w:val="0"/>
          <w:bCs/>
          <w:sz w:val="22"/>
          <w:szCs w:val="22"/>
        </w:rPr>
        <w:instrText xml:space="preserve"> PAGEREF _Toc28837 \h </w:instrText>
      </w:r>
      <w:r>
        <w:rPr>
          <w:rFonts w:hint="eastAsia" w:ascii="宋体" w:hAnsi="宋体" w:eastAsia="宋体" w:cs="宋体"/>
          <w:b w:val="0"/>
          <w:bCs/>
          <w:sz w:val="22"/>
          <w:szCs w:val="22"/>
        </w:rPr>
        <w:fldChar w:fldCharType="separate"/>
      </w:r>
      <w:r>
        <w:rPr>
          <w:rFonts w:hint="eastAsia" w:ascii="宋体" w:hAnsi="宋体" w:eastAsia="宋体" w:cs="宋体"/>
          <w:b w:val="0"/>
          <w:bCs/>
          <w:sz w:val="22"/>
          <w:szCs w:val="22"/>
        </w:rPr>
        <w:t>36</w:t>
      </w:r>
      <w:r>
        <w:rPr>
          <w:rFonts w:hint="eastAsia" w:ascii="宋体" w:hAnsi="宋体" w:eastAsia="宋体" w:cs="宋体"/>
          <w:b w:val="0"/>
          <w:bCs/>
          <w:sz w:val="22"/>
          <w:szCs w:val="22"/>
        </w:rPr>
        <w:fldChar w:fldCharType="end"/>
      </w:r>
      <w:r>
        <w:rPr>
          <w:rFonts w:hint="eastAsia" w:ascii="宋体" w:hAnsi="宋体" w:eastAsia="宋体" w:cs="宋体"/>
          <w:sz w:val="22"/>
          <w:szCs w:val="22"/>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_Toc21837 </w:instrText>
      </w:r>
      <w:r>
        <w:rPr>
          <w:rFonts w:hint="eastAsia" w:ascii="宋体" w:hAnsi="宋体" w:eastAsia="宋体" w:cs="宋体"/>
          <w:sz w:val="22"/>
          <w:szCs w:val="22"/>
        </w:rPr>
        <w:fldChar w:fldCharType="separate"/>
      </w:r>
      <w:r>
        <w:rPr>
          <w:rFonts w:hint="eastAsia" w:ascii="宋体" w:hAnsi="宋体" w:eastAsia="宋体" w:cs="宋体"/>
          <w:sz w:val="22"/>
          <w:szCs w:val="22"/>
        </w:rPr>
        <w:t>二、收</w:t>
      </w:r>
      <w:r>
        <w:rPr>
          <w:rFonts w:hint="eastAsia" w:ascii="宋体" w:hAnsi="宋体" w:eastAsia="宋体" w:cs="宋体"/>
          <w:bCs w:val="0"/>
          <w:sz w:val="22"/>
          <w:szCs w:val="22"/>
        </w:rPr>
        <w:t>入决算表、</w:t>
      </w:r>
      <w:r>
        <w:rPr>
          <w:rFonts w:hint="eastAsia" w:ascii="宋体" w:hAnsi="宋体" w:eastAsia="宋体" w:cs="宋体"/>
          <w:sz w:val="22"/>
          <w:szCs w:val="22"/>
        </w:rPr>
        <w:tab/>
      </w:r>
      <w:r>
        <w:rPr>
          <w:rFonts w:hint="eastAsia" w:ascii="宋体" w:hAnsi="宋体" w:eastAsia="宋体" w:cs="宋体"/>
          <w:b w:val="0"/>
          <w:bCs/>
          <w:sz w:val="22"/>
          <w:szCs w:val="22"/>
        </w:rPr>
        <w:fldChar w:fldCharType="begin"/>
      </w:r>
      <w:r>
        <w:rPr>
          <w:rFonts w:hint="eastAsia" w:ascii="宋体" w:hAnsi="宋体" w:eastAsia="宋体" w:cs="宋体"/>
          <w:b w:val="0"/>
          <w:bCs/>
          <w:sz w:val="22"/>
          <w:szCs w:val="22"/>
        </w:rPr>
        <w:instrText xml:space="preserve"> PAGEREF _Toc28837 \h </w:instrText>
      </w:r>
      <w:r>
        <w:rPr>
          <w:rFonts w:hint="eastAsia" w:ascii="宋体" w:hAnsi="宋体" w:eastAsia="宋体" w:cs="宋体"/>
          <w:b w:val="0"/>
          <w:bCs/>
          <w:sz w:val="22"/>
          <w:szCs w:val="22"/>
        </w:rPr>
        <w:fldChar w:fldCharType="separate"/>
      </w:r>
      <w:r>
        <w:rPr>
          <w:rFonts w:hint="eastAsia" w:ascii="宋体" w:hAnsi="宋体" w:eastAsia="宋体" w:cs="宋体"/>
          <w:b w:val="0"/>
          <w:bCs/>
          <w:sz w:val="22"/>
          <w:szCs w:val="22"/>
        </w:rPr>
        <w:t>36</w:t>
      </w:r>
      <w:r>
        <w:rPr>
          <w:rFonts w:hint="eastAsia" w:ascii="宋体" w:hAnsi="宋体" w:eastAsia="宋体" w:cs="宋体"/>
          <w:b w:val="0"/>
          <w:bCs/>
          <w:sz w:val="22"/>
          <w:szCs w:val="22"/>
        </w:rPr>
        <w:fldChar w:fldCharType="end"/>
      </w:r>
      <w:r>
        <w:rPr>
          <w:rFonts w:hint="eastAsia" w:ascii="宋体" w:hAnsi="宋体" w:eastAsia="宋体" w:cs="宋体"/>
          <w:sz w:val="22"/>
          <w:szCs w:val="22"/>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_Toc30752 </w:instrText>
      </w:r>
      <w:r>
        <w:rPr>
          <w:rFonts w:hint="eastAsia" w:ascii="宋体" w:hAnsi="宋体" w:eastAsia="宋体" w:cs="宋体"/>
          <w:sz w:val="22"/>
          <w:szCs w:val="22"/>
        </w:rPr>
        <w:fldChar w:fldCharType="separate"/>
      </w:r>
      <w:r>
        <w:rPr>
          <w:rFonts w:hint="eastAsia" w:ascii="宋体" w:hAnsi="宋体" w:eastAsia="宋体" w:cs="宋体"/>
          <w:bCs w:val="0"/>
          <w:sz w:val="22"/>
          <w:szCs w:val="22"/>
        </w:rPr>
        <w:t>三、</w:t>
      </w:r>
      <w:r>
        <w:rPr>
          <w:rFonts w:hint="eastAsia" w:ascii="宋体" w:hAnsi="宋体" w:eastAsia="宋体" w:cs="宋体"/>
          <w:sz w:val="22"/>
          <w:szCs w:val="22"/>
        </w:rPr>
        <w:t>支</w:t>
      </w:r>
      <w:r>
        <w:rPr>
          <w:rFonts w:hint="eastAsia" w:ascii="宋体" w:hAnsi="宋体" w:eastAsia="宋体" w:cs="宋体"/>
          <w:bCs w:val="0"/>
          <w:sz w:val="22"/>
          <w:szCs w:val="22"/>
        </w:rPr>
        <w:t>出决算表</w:t>
      </w:r>
      <w:r>
        <w:rPr>
          <w:rFonts w:hint="eastAsia" w:ascii="宋体" w:hAnsi="宋体" w:eastAsia="宋体" w:cs="宋体"/>
          <w:sz w:val="22"/>
          <w:szCs w:val="22"/>
        </w:rPr>
        <w:tab/>
      </w:r>
      <w:r>
        <w:rPr>
          <w:rFonts w:hint="eastAsia" w:ascii="宋体" w:hAnsi="宋体" w:eastAsia="宋体" w:cs="宋体"/>
          <w:b w:val="0"/>
          <w:bCs/>
          <w:sz w:val="22"/>
          <w:szCs w:val="22"/>
        </w:rPr>
        <w:fldChar w:fldCharType="begin"/>
      </w:r>
      <w:r>
        <w:rPr>
          <w:rFonts w:hint="eastAsia" w:ascii="宋体" w:hAnsi="宋体" w:eastAsia="宋体" w:cs="宋体"/>
          <w:b w:val="0"/>
          <w:bCs/>
          <w:sz w:val="22"/>
          <w:szCs w:val="22"/>
        </w:rPr>
        <w:instrText xml:space="preserve"> PAGEREF _Toc28837 \h </w:instrText>
      </w:r>
      <w:r>
        <w:rPr>
          <w:rFonts w:hint="eastAsia" w:ascii="宋体" w:hAnsi="宋体" w:eastAsia="宋体" w:cs="宋体"/>
          <w:b w:val="0"/>
          <w:bCs/>
          <w:sz w:val="22"/>
          <w:szCs w:val="22"/>
        </w:rPr>
        <w:fldChar w:fldCharType="separate"/>
      </w:r>
      <w:r>
        <w:rPr>
          <w:rFonts w:hint="eastAsia" w:ascii="宋体" w:hAnsi="宋体" w:eastAsia="宋体" w:cs="宋体"/>
          <w:b w:val="0"/>
          <w:bCs/>
          <w:sz w:val="22"/>
          <w:szCs w:val="22"/>
        </w:rPr>
        <w:t>36</w:t>
      </w:r>
      <w:r>
        <w:rPr>
          <w:rFonts w:hint="eastAsia" w:ascii="宋体" w:hAnsi="宋体" w:eastAsia="宋体" w:cs="宋体"/>
          <w:b w:val="0"/>
          <w:bCs/>
          <w:sz w:val="22"/>
          <w:szCs w:val="22"/>
        </w:rPr>
        <w:fldChar w:fldCharType="end"/>
      </w:r>
      <w:r>
        <w:rPr>
          <w:rFonts w:hint="eastAsia" w:ascii="宋体" w:hAnsi="宋体" w:eastAsia="宋体" w:cs="宋体"/>
          <w:sz w:val="22"/>
          <w:szCs w:val="22"/>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_Toc24837 </w:instrText>
      </w:r>
      <w:r>
        <w:rPr>
          <w:rFonts w:hint="eastAsia" w:ascii="宋体" w:hAnsi="宋体" w:eastAsia="宋体" w:cs="宋体"/>
          <w:sz w:val="22"/>
          <w:szCs w:val="22"/>
        </w:rPr>
        <w:fldChar w:fldCharType="separate"/>
      </w:r>
      <w:r>
        <w:rPr>
          <w:rFonts w:hint="eastAsia" w:ascii="宋体" w:hAnsi="宋体" w:eastAsia="宋体" w:cs="宋体"/>
          <w:bCs w:val="0"/>
          <w:sz w:val="22"/>
          <w:szCs w:val="22"/>
        </w:rPr>
        <w:t>四、</w:t>
      </w:r>
      <w:r>
        <w:rPr>
          <w:rFonts w:hint="eastAsia" w:ascii="宋体" w:hAnsi="宋体" w:eastAsia="宋体" w:cs="宋体"/>
          <w:sz w:val="22"/>
          <w:szCs w:val="22"/>
        </w:rPr>
        <w:t>财</w:t>
      </w:r>
      <w:r>
        <w:rPr>
          <w:rFonts w:hint="eastAsia" w:ascii="宋体" w:hAnsi="宋体" w:eastAsia="宋体" w:cs="宋体"/>
          <w:bCs w:val="0"/>
          <w:sz w:val="22"/>
          <w:szCs w:val="22"/>
        </w:rPr>
        <w:t>政拨款收入支出决算总表</w:t>
      </w:r>
      <w:r>
        <w:rPr>
          <w:rFonts w:hint="eastAsia" w:ascii="宋体" w:hAnsi="宋体" w:eastAsia="宋体" w:cs="宋体"/>
          <w:sz w:val="22"/>
          <w:szCs w:val="22"/>
        </w:rPr>
        <w:tab/>
      </w:r>
      <w:r>
        <w:rPr>
          <w:rFonts w:hint="eastAsia" w:ascii="宋体" w:hAnsi="宋体" w:eastAsia="宋体" w:cs="宋体"/>
          <w:b w:val="0"/>
          <w:bCs/>
          <w:sz w:val="22"/>
          <w:szCs w:val="22"/>
        </w:rPr>
        <w:fldChar w:fldCharType="begin"/>
      </w:r>
      <w:r>
        <w:rPr>
          <w:rFonts w:hint="eastAsia" w:ascii="宋体" w:hAnsi="宋体" w:eastAsia="宋体" w:cs="宋体"/>
          <w:b w:val="0"/>
          <w:bCs/>
          <w:sz w:val="22"/>
          <w:szCs w:val="22"/>
        </w:rPr>
        <w:instrText xml:space="preserve"> PAGEREF _Toc28837 \h </w:instrText>
      </w:r>
      <w:r>
        <w:rPr>
          <w:rFonts w:hint="eastAsia" w:ascii="宋体" w:hAnsi="宋体" w:eastAsia="宋体" w:cs="宋体"/>
          <w:b w:val="0"/>
          <w:bCs/>
          <w:sz w:val="22"/>
          <w:szCs w:val="22"/>
        </w:rPr>
        <w:fldChar w:fldCharType="separate"/>
      </w:r>
      <w:r>
        <w:rPr>
          <w:rFonts w:hint="eastAsia" w:ascii="宋体" w:hAnsi="宋体" w:eastAsia="宋体" w:cs="宋体"/>
          <w:b w:val="0"/>
          <w:bCs/>
          <w:sz w:val="22"/>
          <w:szCs w:val="22"/>
        </w:rPr>
        <w:t>36</w:t>
      </w:r>
      <w:r>
        <w:rPr>
          <w:rFonts w:hint="eastAsia" w:ascii="宋体" w:hAnsi="宋体" w:eastAsia="宋体" w:cs="宋体"/>
          <w:b w:val="0"/>
          <w:bCs/>
          <w:sz w:val="22"/>
          <w:szCs w:val="22"/>
        </w:rPr>
        <w:fldChar w:fldCharType="end"/>
      </w:r>
      <w:r>
        <w:rPr>
          <w:rFonts w:hint="eastAsia" w:ascii="宋体" w:hAnsi="宋体" w:eastAsia="宋体" w:cs="宋体"/>
          <w:sz w:val="22"/>
          <w:szCs w:val="22"/>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_Toc4781 </w:instrText>
      </w:r>
      <w:r>
        <w:rPr>
          <w:rFonts w:hint="eastAsia" w:ascii="宋体" w:hAnsi="宋体" w:eastAsia="宋体" w:cs="宋体"/>
          <w:sz w:val="22"/>
          <w:szCs w:val="22"/>
        </w:rPr>
        <w:fldChar w:fldCharType="separate"/>
      </w:r>
      <w:r>
        <w:rPr>
          <w:rFonts w:hint="eastAsia" w:ascii="宋体" w:hAnsi="宋体" w:eastAsia="宋体" w:cs="宋体"/>
          <w:bCs w:val="0"/>
          <w:sz w:val="22"/>
          <w:szCs w:val="22"/>
        </w:rPr>
        <w:t>五、</w:t>
      </w:r>
      <w:r>
        <w:rPr>
          <w:rFonts w:hint="eastAsia" w:ascii="宋体" w:hAnsi="宋体" w:eastAsia="宋体" w:cs="宋体"/>
          <w:sz w:val="22"/>
          <w:szCs w:val="22"/>
        </w:rPr>
        <w:t>财</w:t>
      </w:r>
      <w:r>
        <w:rPr>
          <w:rFonts w:hint="eastAsia" w:ascii="宋体" w:hAnsi="宋体" w:eastAsia="宋体" w:cs="宋体"/>
          <w:bCs w:val="0"/>
          <w:sz w:val="22"/>
          <w:szCs w:val="22"/>
        </w:rPr>
        <w:t>政拨款支出决算明细表</w:t>
      </w:r>
      <w:r>
        <w:rPr>
          <w:rFonts w:hint="eastAsia" w:ascii="宋体" w:hAnsi="宋体" w:eastAsia="宋体" w:cs="宋体"/>
          <w:sz w:val="22"/>
          <w:szCs w:val="22"/>
        </w:rPr>
        <w:tab/>
      </w:r>
      <w:r>
        <w:rPr>
          <w:rFonts w:hint="eastAsia" w:ascii="宋体" w:hAnsi="宋体" w:eastAsia="宋体" w:cs="宋体"/>
          <w:b w:val="0"/>
          <w:bCs/>
          <w:sz w:val="22"/>
          <w:szCs w:val="22"/>
        </w:rPr>
        <w:fldChar w:fldCharType="begin"/>
      </w:r>
      <w:r>
        <w:rPr>
          <w:rFonts w:hint="eastAsia" w:ascii="宋体" w:hAnsi="宋体" w:eastAsia="宋体" w:cs="宋体"/>
          <w:b w:val="0"/>
          <w:bCs/>
          <w:sz w:val="22"/>
          <w:szCs w:val="22"/>
        </w:rPr>
        <w:instrText xml:space="preserve"> PAGEREF _Toc28837 \h </w:instrText>
      </w:r>
      <w:r>
        <w:rPr>
          <w:rFonts w:hint="eastAsia" w:ascii="宋体" w:hAnsi="宋体" w:eastAsia="宋体" w:cs="宋体"/>
          <w:b w:val="0"/>
          <w:bCs/>
          <w:sz w:val="22"/>
          <w:szCs w:val="22"/>
        </w:rPr>
        <w:fldChar w:fldCharType="separate"/>
      </w:r>
      <w:r>
        <w:rPr>
          <w:rFonts w:hint="eastAsia" w:ascii="宋体" w:hAnsi="宋体" w:eastAsia="宋体" w:cs="宋体"/>
          <w:b w:val="0"/>
          <w:bCs/>
          <w:sz w:val="22"/>
          <w:szCs w:val="22"/>
        </w:rPr>
        <w:t>36</w:t>
      </w:r>
      <w:r>
        <w:rPr>
          <w:rFonts w:hint="eastAsia" w:ascii="宋体" w:hAnsi="宋体" w:eastAsia="宋体" w:cs="宋体"/>
          <w:b w:val="0"/>
          <w:bCs/>
          <w:sz w:val="22"/>
          <w:szCs w:val="22"/>
        </w:rPr>
        <w:fldChar w:fldCharType="end"/>
      </w:r>
      <w:r>
        <w:rPr>
          <w:rFonts w:hint="eastAsia" w:ascii="宋体" w:hAnsi="宋体" w:eastAsia="宋体" w:cs="宋体"/>
          <w:sz w:val="22"/>
          <w:szCs w:val="22"/>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_Toc22366 </w:instrText>
      </w:r>
      <w:r>
        <w:rPr>
          <w:rFonts w:hint="eastAsia" w:ascii="宋体" w:hAnsi="宋体" w:eastAsia="宋体" w:cs="宋体"/>
          <w:sz w:val="22"/>
          <w:szCs w:val="22"/>
        </w:rPr>
        <w:fldChar w:fldCharType="separate"/>
      </w:r>
      <w:r>
        <w:rPr>
          <w:rFonts w:hint="eastAsia" w:ascii="宋体" w:hAnsi="宋体" w:eastAsia="宋体" w:cs="宋体"/>
          <w:bCs w:val="0"/>
          <w:sz w:val="22"/>
          <w:szCs w:val="22"/>
        </w:rPr>
        <w:t>六、</w:t>
      </w:r>
      <w:r>
        <w:rPr>
          <w:rFonts w:hint="eastAsia" w:ascii="宋体" w:hAnsi="宋体" w:eastAsia="宋体" w:cs="宋体"/>
          <w:sz w:val="22"/>
          <w:szCs w:val="22"/>
        </w:rPr>
        <w:t>一</w:t>
      </w:r>
      <w:r>
        <w:rPr>
          <w:rFonts w:hint="eastAsia" w:ascii="宋体" w:hAnsi="宋体" w:eastAsia="宋体" w:cs="宋体"/>
          <w:bCs w:val="0"/>
          <w:sz w:val="22"/>
          <w:szCs w:val="22"/>
        </w:rPr>
        <w:t>般公共预算财政拨款支出决算表</w:t>
      </w:r>
      <w:r>
        <w:rPr>
          <w:rFonts w:hint="eastAsia" w:ascii="宋体" w:hAnsi="宋体" w:eastAsia="宋体" w:cs="宋体"/>
          <w:sz w:val="22"/>
          <w:szCs w:val="22"/>
        </w:rPr>
        <w:tab/>
      </w:r>
      <w:r>
        <w:rPr>
          <w:rFonts w:hint="eastAsia" w:ascii="宋体" w:hAnsi="宋体" w:eastAsia="宋体" w:cs="宋体"/>
          <w:b w:val="0"/>
          <w:bCs/>
          <w:sz w:val="22"/>
          <w:szCs w:val="22"/>
        </w:rPr>
        <w:fldChar w:fldCharType="begin"/>
      </w:r>
      <w:r>
        <w:rPr>
          <w:rFonts w:hint="eastAsia" w:ascii="宋体" w:hAnsi="宋体" w:eastAsia="宋体" w:cs="宋体"/>
          <w:b w:val="0"/>
          <w:bCs/>
          <w:sz w:val="22"/>
          <w:szCs w:val="22"/>
        </w:rPr>
        <w:instrText xml:space="preserve"> PAGEREF _Toc28837 \h </w:instrText>
      </w:r>
      <w:r>
        <w:rPr>
          <w:rFonts w:hint="eastAsia" w:ascii="宋体" w:hAnsi="宋体" w:eastAsia="宋体" w:cs="宋体"/>
          <w:b w:val="0"/>
          <w:bCs/>
          <w:sz w:val="22"/>
          <w:szCs w:val="22"/>
        </w:rPr>
        <w:fldChar w:fldCharType="separate"/>
      </w:r>
      <w:r>
        <w:rPr>
          <w:rFonts w:hint="eastAsia" w:ascii="宋体" w:hAnsi="宋体" w:eastAsia="宋体" w:cs="宋体"/>
          <w:b w:val="0"/>
          <w:bCs/>
          <w:sz w:val="22"/>
          <w:szCs w:val="22"/>
        </w:rPr>
        <w:t>36</w:t>
      </w:r>
      <w:r>
        <w:rPr>
          <w:rFonts w:hint="eastAsia" w:ascii="宋体" w:hAnsi="宋体" w:eastAsia="宋体" w:cs="宋体"/>
          <w:b w:val="0"/>
          <w:bCs/>
          <w:sz w:val="22"/>
          <w:szCs w:val="22"/>
        </w:rPr>
        <w:fldChar w:fldCharType="end"/>
      </w:r>
      <w:r>
        <w:rPr>
          <w:rFonts w:hint="eastAsia" w:ascii="宋体" w:hAnsi="宋体" w:eastAsia="宋体" w:cs="宋体"/>
          <w:sz w:val="22"/>
          <w:szCs w:val="22"/>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_Toc24640 </w:instrText>
      </w:r>
      <w:r>
        <w:rPr>
          <w:rFonts w:hint="eastAsia" w:ascii="宋体" w:hAnsi="宋体" w:eastAsia="宋体" w:cs="宋体"/>
          <w:sz w:val="22"/>
          <w:szCs w:val="22"/>
        </w:rPr>
        <w:fldChar w:fldCharType="separate"/>
      </w:r>
      <w:r>
        <w:rPr>
          <w:rFonts w:hint="eastAsia" w:ascii="宋体" w:hAnsi="宋体" w:eastAsia="宋体" w:cs="宋体"/>
          <w:bCs w:val="0"/>
          <w:sz w:val="22"/>
          <w:szCs w:val="22"/>
        </w:rPr>
        <w:t>七、</w:t>
      </w:r>
      <w:r>
        <w:rPr>
          <w:rFonts w:hint="eastAsia" w:ascii="宋体" w:hAnsi="宋体" w:eastAsia="宋体" w:cs="宋体"/>
          <w:sz w:val="22"/>
          <w:szCs w:val="22"/>
        </w:rPr>
        <w:t>一</w:t>
      </w:r>
      <w:r>
        <w:rPr>
          <w:rFonts w:hint="eastAsia" w:ascii="宋体" w:hAnsi="宋体" w:eastAsia="宋体" w:cs="宋体"/>
          <w:bCs w:val="0"/>
          <w:sz w:val="22"/>
          <w:szCs w:val="22"/>
        </w:rPr>
        <w:t>般公共预算财政拨款支出决算明细表</w:t>
      </w:r>
      <w:r>
        <w:rPr>
          <w:rFonts w:hint="eastAsia" w:ascii="宋体" w:hAnsi="宋体" w:eastAsia="宋体" w:cs="宋体"/>
          <w:sz w:val="22"/>
          <w:szCs w:val="22"/>
        </w:rPr>
        <w:tab/>
      </w:r>
      <w:r>
        <w:rPr>
          <w:rFonts w:hint="eastAsia" w:ascii="宋体" w:hAnsi="宋体" w:eastAsia="宋体" w:cs="宋体"/>
          <w:b w:val="0"/>
          <w:bCs/>
          <w:sz w:val="22"/>
          <w:szCs w:val="22"/>
        </w:rPr>
        <w:fldChar w:fldCharType="begin"/>
      </w:r>
      <w:r>
        <w:rPr>
          <w:rFonts w:hint="eastAsia" w:ascii="宋体" w:hAnsi="宋体" w:eastAsia="宋体" w:cs="宋体"/>
          <w:b w:val="0"/>
          <w:bCs/>
          <w:sz w:val="22"/>
          <w:szCs w:val="22"/>
        </w:rPr>
        <w:instrText xml:space="preserve"> PAGEREF _Toc28837 \h </w:instrText>
      </w:r>
      <w:r>
        <w:rPr>
          <w:rFonts w:hint="eastAsia" w:ascii="宋体" w:hAnsi="宋体" w:eastAsia="宋体" w:cs="宋体"/>
          <w:b w:val="0"/>
          <w:bCs/>
          <w:sz w:val="22"/>
          <w:szCs w:val="22"/>
        </w:rPr>
        <w:fldChar w:fldCharType="separate"/>
      </w:r>
      <w:r>
        <w:rPr>
          <w:rFonts w:hint="eastAsia" w:ascii="宋体" w:hAnsi="宋体" w:eastAsia="宋体" w:cs="宋体"/>
          <w:b w:val="0"/>
          <w:bCs/>
          <w:sz w:val="22"/>
          <w:szCs w:val="22"/>
        </w:rPr>
        <w:t>36</w:t>
      </w:r>
      <w:r>
        <w:rPr>
          <w:rFonts w:hint="eastAsia" w:ascii="宋体" w:hAnsi="宋体" w:eastAsia="宋体" w:cs="宋体"/>
          <w:b w:val="0"/>
          <w:bCs/>
          <w:sz w:val="22"/>
          <w:szCs w:val="22"/>
        </w:rPr>
        <w:fldChar w:fldCharType="end"/>
      </w:r>
      <w:r>
        <w:rPr>
          <w:rFonts w:hint="eastAsia" w:ascii="宋体" w:hAnsi="宋体" w:eastAsia="宋体" w:cs="宋体"/>
          <w:sz w:val="22"/>
          <w:szCs w:val="22"/>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_Toc21733 </w:instrText>
      </w:r>
      <w:r>
        <w:rPr>
          <w:rFonts w:hint="eastAsia" w:ascii="宋体" w:hAnsi="宋体" w:eastAsia="宋体" w:cs="宋体"/>
          <w:sz w:val="22"/>
          <w:szCs w:val="22"/>
        </w:rPr>
        <w:fldChar w:fldCharType="separate"/>
      </w:r>
      <w:r>
        <w:rPr>
          <w:rFonts w:hint="eastAsia" w:ascii="宋体" w:hAnsi="宋体" w:eastAsia="宋体" w:cs="宋体"/>
          <w:bCs w:val="0"/>
          <w:sz w:val="22"/>
          <w:szCs w:val="22"/>
        </w:rPr>
        <w:t>八、</w:t>
      </w:r>
      <w:r>
        <w:rPr>
          <w:rFonts w:hint="eastAsia" w:ascii="宋体" w:hAnsi="宋体" w:eastAsia="宋体" w:cs="宋体"/>
          <w:sz w:val="22"/>
          <w:szCs w:val="22"/>
        </w:rPr>
        <w:t>一</w:t>
      </w:r>
      <w:r>
        <w:rPr>
          <w:rFonts w:hint="eastAsia" w:ascii="宋体" w:hAnsi="宋体" w:eastAsia="宋体" w:cs="宋体"/>
          <w:bCs w:val="0"/>
          <w:sz w:val="22"/>
          <w:szCs w:val="22"/>
        </w:rPr>
        <w:t>般公共预算财政拨款基本支出决算表</w:t>
      </w:r>
      <w:r>
        <w:rPr>
          <w:rFonts w:hint="eastAsia" w:ascii="宋体" w:hAnsi="宋体" w:eastAsia="宋体" w:cs="宋体"/>
          <w:sz w:val="22"/>
          <w:szCs w:val="22"/>
        </w:rPr>
        <w:tab/>
      </w:r>
      <w:r>
        <w:rPr>
          <w:rFonts w:hint="eastAsia" w:ascii="宋体" w:hAnsi="宋体" w:eastAsia="宋体" w:cs="宋体"/>
          <w:b w:val="0"/>
          <w:bCs/>
          <w:sz w:val="22"/>
          <w:szCs w:val="22"/>
        </w:rPr>
        <w:fldChar w:fldCharType="begin"/>
      </w:r>
      <w:r>
        <w:rPr>
          <w:rFonts w:hint="eastAsia" w:ascii="宋体" w:hAnsi="宋体" w:eastAsia="宋体" w:cs="宋体"/>
          <w:b w:val="0"/>
          <w:bCs/>
          <w:sz w:val="22"/>
          <w:szCs w:val="22"/>
        </w:rPr>
        <w:instrText xml:space="preserve"> PAGEREF _Toc28837 \h </w:instrText>
      </w:r>
      <w:r>
        <w:rPr>
          <w:rFonts w:hint="eastAsia" w:ascii="宋体" w:hAnsi="宋体" w:eastAsia="宋体" w:cs="宋体"/>
          <w:b w:val="0"/>
          <w:bCs/>
          <w:sz w:val="22"/>
          <w:szCs w:val="22"/>
        </w:rPr>
        <w:fldChar w:fldCharType="separate"/>
      </w:r>
      <w:r>
        <w:rPr>
          <w:rFonts w:hint="eastAsia" w:ascii="宋体" w:hAnsi="宋体" w:eastAsia="宋体" w:cs="宋体"/>
          <w:b w:val="0"/>
          <w:bCs/>
          <w:sz w:val="22"/>
          <w:szCs w:val="22"/>
        </w:rPr>
        <w:t>36</w:t>
      </w:r>
      <w:r>
        <w:rPr>
          <w:rFonts w:hint="eastAsia" w:ascii="宋体" w:hAnsi="宋体" w:eastAsia="宋体" w:cs="宋体"/>
          <w:b w:val="0"/>
          <w:bCs/>
          <w:sz w:val="22"/>
          <w:szCs w:val="22"/>
        </w:rPr>
        <w:fldChar w:fldCharType="end"/>
      </w:r>
      <w:r>
        <w:rPr>
          <w:rFonts w:hint="eastAsia" w:ascii="宋体" w:hAnsi="宋体" w:eastAsia="宋体" w:cs="宋体"/>
          <w:sz w:val="22"/>
          <w:szCs w:val="22"/>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_Toc19592 </w:instrText>
      </w:r>
      <w:r>
        <w:rPr>
          <w:rFonts w:hint="eastAsia" w:ascii="宋体" w:hAnsi="宋体" w:eastAsia="宋体" w:cs="宋体"/>
          <w:sz w:val="22"/>
          <w:szCs w:val="22"/>
        </w:rPr>
        <w:fldChar w:fldCharType="separate"/>
      </w:r>
      <w:r>
        <w:rPr>
          <w:rFonts w:hint="eastAsia" w:ascii="宋体" w:hAnsi="宋体" w:eastAsia="宋体" w:cs="宋体"/>
          <w:bCs w:val="0"/>
          <w:sz w:val="22"/>
          <w:szCs w:val="22"/>
        </w:rPr>
        <w:t>九、</w:t>
      </w:r>
      <w:r>
        <w:rPr>
          <w:rFonts w:hint="eastAsia" w:ascii="宋体" w:hAnsi="宋体" w:eastAsia="宋体" w:cs="宋体"/>
          <w:sz w:val="22"/>
          <w:szCs w:val="22"/>
        </w:rPr>
        <w:t>一</w:t>
      </w:r>
      <w:r>
        <w:rPr>
          <w:rFonts w:hint="eastAsia" w:ascii="宋体" w:hAnsi="宋体" w:eastAsia="宋体" w:cs="宋体"/>
          <w:bCs w:val="0"/>
          <w:sz w:val="22"/>
          <w:szCs w:val="22"/>
        </w:rPr>
        <w:t>般公共预算财政拨款项目支出决算表</w:t>
      </w:r>
      <w:r>
        <w:rPr>
          <w:rFonts w:hint="eastAsia" w:ascii="宋体" w:hAnsi="宋体" w:eastAsia="宋体" w:cs="宋体"/>
          <w:sz w:val="22"/>
          <w:szCs w:val="22"/>
        </w:rPr>
        <w:tab/>
      </w:r>
      <w:r>
        <w:rPr>
          <w:rFonts w:hint="eastAsia" w:ascii="宋体" w:hAnsi="宋体" w:eastAsia="宋体" w:cs="宋体"/>
          <w:b w:val="0"/>
          <w:bCs/>
          <w:sz w:val="22"/>
          <w:szCs w:val="22"/>
        </w:rPr>
        <w:fldChar w:fldCharType="begin"/>
      </w:r>
      <w:r>
        <w:rPr>
          <w:rFonts w:hint="eastAsia" w:ascii="宋体" w:hAnsi="宋体" w:eastAsia="宋体" w:cs="宋体"/>
          <w:b w:val="0"/>
          <w:bCs/>
          <w:sz w:val="22"/>
          <w:szCs w:val="22"/>
        </w:rPr>
        <w:instrText xml:space="preserve"> PAGEREF _Toc28837 \h </w:instrText>
      </w:r>
      <w:r>
        <w:rPr>
          <w:rFonts w:hint="eastAsia" w:ascii="宋体" w:hAnsi="宋体" w:eastAsia="宋体" w:cs="宋体"/>
          <w:b w:val="0"/>
          <w:bCs/>
          <w:sz w:val="22"/>
          <w:szCs w:val="22"/>
        </w:rPr>
        <w:fldChar w:fldCharType="separate"/>
      </w:r>
      <w:r>
        <w:rPr>
          <w:rFonts w:hint="eastAsia" w:ascii="宋体" w:hAnsi="宋体" w:eastAsia="宋体" w:cs="宋体"/>
          <w:b w:val="0"/>
          <w:bCs/>
          <w:sz w:val="22"/>
          <w:szCs w:val="22"/>
        </w:rPr>
        <w:t>36</w:t>
      </w:r>
      <w:r>
        <w:rPr>
          <w:rFonts w:hint="eastAsia" w:ascii="宋体" w:hAnsi="宋体" w:eastAsia="宋体" w:cs="宋体"/>
          <w:b w:val="0"/>
          <w:bCs/>
          <w:sz w:val="22"/>
          <w:szCs w:val="22"/>
        </w:rPr>
        <w:fldChar w:fldCharType="end"/>
      </w:r>
      <w:r>
        <w:rPr>
          <w:rFonts w:hint="eastAsia" w:ascii="宋体" w:hAnsi="宋体" w:eastAsia="宋体" w:cs="宋体"/>
          <w:sz w:val="22"/>
          <w:szCs w:val="22"/>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_Toc6811 </w:instrText>
      </w:r>
      <w:r>
        <w:rPr>
          <w:rFonts w:hint="eastAsia" w:ascii="宋体" w:hAnsi="宋体" w:eastAsia="宋体" w:cs="宋体"/>
          <w:sz w:val="22"/>
          <w:szCs w:val="22"/>
        </w:rPr>
        <w:fldChar w:fldCharType="separate"/>
      </w:r>
      <w:r>
        <w:rPr>
          <w:rFonts w:hint="eastAsia" w:ascii="宋体" w:hAnsi="宋体" w:eastAsia="宋体" w:cs="宋体"/>
          <w:bCs w:val="0"/>
          <w:sz w:val="22"/>
          <w:szCs w:val="22"/>
        </w:rPr>
        <w:t>十、</w:t>
      </w:r>
      <w:r>
        <w:rPr>
          <w:rFonts w:hint="eastAsia" w:ascii="宋体" w:hAnsi="宋体" w:eastAsia="宋体" w:cs="宋体"/>
          <w:sz w:val="22"/>
          <w:szCs w:val="22"/>
        </w:rPr>
        <w:t>政</w:t>
      </w:r>
      <w:r>
        <w:rPr>
          <w:rFonts w:hint="eastAsia" w:ascii="宋体" w:hAnsi="宋体" w:eastAsia="宋体" w:cs="宋体"/>
          <w:bCs w:val="0"/>
          <w:sz w:val="22"/>
          <w:szCs w:val="22"/>
        </w:rPr>
        <w:t>府性基金预算财政拨款收入支出决算表</w:t>
      </w:r>
      <w:r>
        <w:rPr>
          <w:rFonts w:hint="eastAsia" w:ascii="宋体" w:hAnsi="宋体" w:eastAsia="宋体" w:cs="宋体"/>
          <w:sz w:val="22"/>
          <w:szCs w:val="22"/>
        </w:rPr>
        <w:tab/>
      </w:r>
      <w:r>
        <w:rPr>
          <w:rFonts w:hint="eastAsia" w:ascii="宋体" w:hAnsi="宋体" w:eastAsia="宋体" w:cs="宋体"/>
          <w:b w:val="0"/>
          <w:bCs/>
          <w:sz w:val="22"/>
          <w:szCs w:val="22"/>
        </w:rPr>
        <w:fldChar w:fldCharType="begin"/>
      </w:r>
      <w:r>
        <w:rPr>
          <w:rFonts w:hint="eastAsia" w:ascii="宋体" w:hAnsi="宋体" w:eastAsia="宋体" w:cs="宋体"/>
          <w:b w:val="0"/>
          <w:bCs/>
          <w:sz w:val="22"/>
          <w:szCs w:val="22"/>
        </w:rPr>
        <w:instrText xml:space="preserve"> PAGEREF _Toc28837 \h </w:instrText>
      </w:r>
      <w:r>
        <w:rPr>
          <w:rFonts w:hint="eastAsia" w:ascii="宋体" w:hAnsi="宋体" w:eastAsia="宋体" w:cs="宋体"/>
          <w:b w:val="0"/>
          <w:bCs/>
          <w:sz w:val="22"/>
          <w:szCs w:val="22"/>
        </w:rPr>
        <w:fldChar w:fldCharType="separate"/>
      </w:r>
      <w:r>
        <w:rPr>
          <w:rFonts w:hint="eastAsia" w:ascii="宋体" w:hAnsi="宋体" w:eastAsia="宋体" w:cs="宋体"/>
          <w:b w:val="0"/>
          <w:bCs/>
          <w:sz w:val="22"/>
          <w:szCs w:val="22"/>
        </w:rPr>
        <w:t>36</w:t>
      </w:r>
      <w:r>
        <w:rPr>
          <w:rFonts w:hint="eastAsia" w:ascii="宋体" w:hAnsi="宋体" w:eastAsia="宋体" w:cs="宋体"/>
          <w:b w:val="0"/>
          <w:bCs/>
          <w:sz w:val="22"/>
          <w:szCs w:val="22"/>
        </w:rPr>
        <w:fldChar w:fldCharType="end"/>
      </w:r>
      <w:r>
        <w:rPr>
          <w:rFonts w:hint="eastAsia" w:ascii="宋体" w:hAnsi="宋体" w:eastAsia="宋体" w:cs="宋体"/>
          <w:sz w:val="22"/>
          <w:szCs w:val="22"/>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_Toc12385 </w:instrText>
      </w:r>
      <w:r>
        <w:rPr>
          <w:rFonts w:hint="eastAsia" w:ascii="宋体" w:hAnsi="宋体" w:eastAsia="宋体" w:cs="宋体"/>
          <w:sz w:val="22"/>
          <w:szCs w:val="22"/>
        </w:rPr>
        <w:fldChar w:fldCharType="separate"/>
      </w:r>
      <w:r>
        <w:rPr>
          <w:rFonts w:hint="eastAsia" w:ascii="宋体" w:hAnsi="宋体" w:eastAsia="宋体" w:cs="宋体"/>
          <w:bCs w:val="0"/>
          <w:sz w:val="22"/>
          <w:szCs w:val="22"/>
        </w:rPr>
        <w:t>十一、</w:t>
      </w:r>
      <w:r>
        <w:rPr>
          <w:rFonts w:hint="eastAsia" w:ascii="宋体" w:hAnsi="宋体" w:eastAsia="宋体" w:cs="宋体"/>
          <w:sz w:val="22"/>
          <w:szCs w:val="22"/>
        </w:rPr>
        <w:t>国</w:t>
      </w:r>
      <w:r>
        <w:rPr>
          <w:rFonts w:hint="eastAsia" w:ascii="宋体" w:hAnsi="宋体" w:eastAsia="宋体" w:cs="宋体"/>
          <w:bCs w:val="0"/>
          <w:sz w:val="22"/>
          <w:szCs w:val="22"/>
        </w:rPr>
        <w:t>有资本经营预算财政拨款收入支出决算表</w:t>
      </w:r>
      <w:r>
        <w:rPr>
          <w:rFonts w:hint="eastAsia" w:ascii="宋体" w:hAnsi="宋体" w:eastAsia="宋体" w:cs="宋体"/>
          <w:sz w:val="22"/>
          <w:szCs w:val="22"/>
        </w:rPr>
        <w:tab/>
      </w:r>
      <w:r>
        <w:rPr>
          <w:rFonts w:hint="eastAsia" w:ascii="宋体" w:hAnsi="宋体" w:eastAsia="宋体" w:cs="宋体"/>
          <w:b w:val="0"/>
          <w:bCs/>
          <w:sz w:val="22"/>
          <w:szCs w:val="22"/>
        </w:rPr>
        <w:fldChar w:fldCharType="begin"/>
      </w:r>
      <w:r>
        <w:rPr>
          <w:rFonts w:hint="eastAsia" w:ascii="宋体" w:hAnsi="宋体" w:eastAsia="宋体" w:cs="宋体"/>
          <w:b w:val="0"/>
          <w:bCs/>
          <w:sz w:val="22"/>
          <w:szCs w:val="22"/>
        </w:rPr>
        <w:instrText xml:space="preserve"> PAGEREF _Toc28837 \h </w:instrText>
      </w:r>
      <w:r>
        <w:rPr>
          <w:rFonts w:hint="eastAsia" w:ascii="宋体" w:hAnsi="宋体" w:eastAsia="宋体" w:cs="宋体"/>
          <w:b w:val="0"/>
          <w:bCs/>
          <w:sz w:val="22"/>
          <w:szCs w:val="22"/>
        </w:rPr>
        <w:fldChar w:fldCharType="separate"/>
      </w:r>
      <w:r>
        <w:rPr>
          <w:rFonts w:hint="eastAsia" w:ascii="宋体" w:hAnsi="宋体" w:eastAsia="宋体" w:cs="宋体"/>
          <w:b w:val="0"/>
          <w:bCs/>
          <w:sz w:val="22"/>
          <w:szCs w:val="22"/>
        </w:rPr>
        <w:t>36</w:t>
      </w:r>
      <w:r>
        <w:rPr>
          <w:rFonts w:hint="eastAsia" w:ascii="宋体" w:hAnsi="宋体" w:eastAsia="宋体" w:cs="宋体"/>
          <w:b w:val="0"/>
          <w:bCs/>
          <w:sz w:val="22"/>
          <w:szCs w:val="22"/>
        </w:rPr>
        <w:fldChar w:fldCharType="end"/>
      </w:r>
      <w:r>
        <w:rPr>
          <w:rFonts w:hint="eastAsia" w:ascii="宋体" w:hAnsi="宋体" w:eastAsia="宋体" w:cs="宋体"/>
          <w:sz w:val="22"/>
          <w:szCs w:val="22"/>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_Toc21057 </w:instrText>
      </w:r>
      <w:r>
        <w:rPr>
          <w:rFonts w:hint="eastAsia" w:ascii="宋体" w:hAnsi="宋体" w:eastAsia="宋体" w:cs="宋体"/>
          <w:sz w:val="22"/>
          <w:szCs w:val="22"/>
        </w:rPr>
        <w:fldChar w:fldCharType="separate"/>
      </w:r>
      <w:r>
        <w:rPr>
          <w:rFonts w:hint="eastAsia" w:ascii="宋体" w:hAnsi="宋体" w:eastAsia="宋体" w:cs="宋体"/>
          <w:bCs w:val="0"/>
          <w:sz w:val="22"/>
          <w:szCs w:val="22"/>
        </w:rPr>
        <w:t>十二、国有资本经营预算财政拨款支出决算表</w:t>
      </w:r>
      <w:r>
        <w:rPr>
          <w:rFonts w:hint="eastAsia" w:ascii="宋体" w:hAnsi="宋体" w:eastAsia="宋体" w:cs="宋体"/>
          <w:sz w:val="22"/>
          <w:szCs w:val="22"/>
        </w:rPr>
        <w:tab/>
      </w:r>
      <w:r>
        <w:rPr>
          <w:rFonts w:hint="eastAsia" w:ascii="宋体" w:hAnsi="宋体" w:eastAsia="宋体" w:cs="宋体"/>
          <w:b w:val="0"/>
          <w:bCs/>
          <w:sz w:val="22"/>
          <w:szCs w:val="22"/>
        </w:rPr>
        <w:fldChar w:fldCharType="begin"/>
      </w:r>
      <w:r>
        <w:rPr>
          <w:rFonts w:hint="eastAsia" w:ascii="宋体" w:hAnsi="宋体" w:eastAsia="宋体" w:cs="宋体"/>
          <w:b w:val="0"/>
          <w:bCs/>
          <w:sz w:val="22"/>
          <w:szCs w:val="22"/>
        </w:rPr>
        <w:instrText xml:space="preserve"> PAGEREF _Toc28837 \h </w:instrText>
      </w:r>
      <w:r>
        <w:rPr>
          <w:rFonts w:hint="eastAsia" w:ascii="宋体" w:hAnsi="宋体" w:eastAsia="宋体" w:cs="宋体"/>
          <w:b w:val="0"/>
          <w:bCs/>
          <w:sz w:val="22"/>
          <w:szCs w:val="22"/>
        </w:rPr>
        <w:fldChar w:fldCharType="separate"/>
      </w:r>
      <w:r>
        <w:rPr>
          <w:rFonts w:hint="eastAsia" w:ascii="宋体" w:hAnsi="宋体" w:eastAsia="宋体" w:cs="宋体"/>
          <w:b w:val="0"/>
          <w:bCs/>
          <w:sz w:val="22"/>
          <w:szCs w:val="22"/>
        </w:rPr>
        <w:t>36</w:t>
      </w:r>
      <w:r>
        <w:rPr>
          <w:rFonts w:hint="eastAsia" w:ascii="宋体" w:hAnsi="宋体" w:eastAsia="宋体" w:cs="宋体"/>
          <w:b w:val="0"/>
          <w:bCs/>
          <w:sz w:val="22"/>
          <w:szCs w:val="22"/>
        </w:rPr>
        <w:fldChar w:fldCharType="end"/>
      </w:r>
      <w:r>
        <w:rPr>
          <w:rFonts w:hint="eastAsia" w:ascii="宋体" w:hAnsi="宋体" w:eastAsia="宋体" w:cs="宋体"/>
          <w:sz w:val="22"/>
          <w:szCs w:val="22"/>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firstLine="440" w:firstLineChars="200"/>
        <w:textAlignment w:val="auto"/>
        <w:rPr>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_Toc22903 </w:instrText>
      </w:r>
      <w:r>
        <w:rPr>
          <w:rFonts w:hint="eastAsia" w:ascii="宋体" w:hAnsi="宋体" w:eastAsia="宋体" w:cs="宋体"/>
          <w:sz w:val="22"/>
          <w:szCs w:val="22"/>
        </w:rPr>
        <w:fldChar w:fldCharType="separate"/>
      </w:r>
      <w:r>
        <w:rPr>
          <w:rFonts w:hint="eastAsia" w:ascii="宋体" w:hAnsi="宋体" w:eastAsia="宋体" w:cs="宋体"/>
          <w:bCs w:val="0"/>
          <w:sz w:val="22"/>
          <w:szCs w:val="22"/>
        </w:rPr>
        <w:t>十三、财政拨款“三公”经费支出决算表</w:t>
      </w:r>
      <w:r>
        <w:rPr>
          <w:rFonts w:hint="eastAsia" w:ascii="宋体" w:hAnsi="宋体" w:eastAsia="宋体" w:cs="宋体"/>
          <w:sz w:val="22"/>
          <w:szCs w:val="22"/>
        </w:rPr>
        <w:tab/>
      </w:r>
      <w:r>
        <w:rPr>
          <w:rFonts w:hint="eastAsia" w:ascii="宋体" w:hAnsi="宋体" w:eastAsia="宋体" w:cs="宋体"/>
          <w:b w:val="0"/>
          <w:bCs/>
          <w:sz w:val="22"/>
          <w:szCs w:val="22"/>
        </w:rPr>
        <w:fldChar w:fldCharType="begin"/>
      </w:r>
      <w:r>
        <w:rPr>
          <w:rFonts w:hint="eastAsia" w:ascii="宋体" w:hAnsi="宋体" w:eastAsia="宋体" w:cs="宋体"/>
          <w:b w:val="0"/>
          <w:bCs/>
          <w:sz w:val="22"/>
          <w:szCs w:val="22"/>
        </w:rPr>
        <w:instrText xml:space="preserve"> PAGEREF _Toc28837 \h </w:instrText>
      </w:r>
      <w:r>
        <w:rPr>
          <w:rFonts w:hint="eastAsia" w:ascii="宋体" w:hAnsi="宋体" w:eastAsia="宋体" w:cs="宋体"/>
          <w:b w:val="0"/>
          <w:bCs/>
          <w:sz w:val="22"/>
          <w:szCs w:val="22"/>
        </w:rPr>
        <w:fldChar w:fldCharType="separate"/>
      </w:r>
      <w:r>
        <w:rPr>
          <w:rFonts w:hint="eastAsia" w:ascii="宋体" w:hAnsi="宋体" w:eastAsia="宋体" w:cs="宋体"/>
          <w:b w:val="0"/>
          <w:bCs/>
          <w:sz w:val="22"/>
          <w:szCs w:val="22"/>
        </w:rPr>
        <w:t>36</w:t>
      </w:r>
      <w:r>
        <w:rPr>
          <w:rFonts w:hint="eastAsia" w:ascii="宋体" w:hAnsi="宋体" w:eastAsia="宋体" w:cs="宋体"/>
          <w:b w:val="0"/>
          <w:bCs/>
          <w:sz w:val="22"/>
          <w:szCs w:val="22"/>
        </w:rPr>
        <w:fldChar w:fldCharType="end"/>
      </w:r>
      <w:r>
        <w:rPr>
          <w:rFonts w:hint="eastAsia" w:ascii="宋体" w:hAnsi="宋体" w:eastAsia="宋体" w:cs="宋体"/>
          <w:sz w:val="22"/>
          <w:szCs w:val="22"/>
        </w:rPr>
        <w:fldChar w:fldCharType="end"/>
      </w:r>
    </w:p>
    <w:p>
      <w:pPr>
        <w:rPr>
          <w:rFonts w:hint="eastAsia" w:asciiTheme="majorEastAsia" w:hAnsiTheme="majorEastAsia" w:eastAsiaTheme="majorEastAsia" w:cstheme="majorEastAsia"/>
          <w:bCs w:val="0"/>
        </w:rPr>
      </w:pPr>
      <w:r>
        <w:rPr>
          <w:b/>
        </w:rPr>
        <w:fldChar w:fldCharType="end"/>
      </w:r>
      <w:bookmarkStart w:id="16" w:name="_Toc13714"/>
    </w:p>
    <w:p>
      <w:pPr>
        <w:pStyle w:val="2"/>
        <w:spacing w:before="0" w:after="0" w:line="576" w:lineRule="exact"/>
        <w:jc w:val="both"/>
        <w:rPr>
          <w:rFonts w:hint="eastAsia" w:asciiTheme="majorEastAsia" w:hAnsiTheme="majorEastAsia" w:eastAsiaTheme="majorEastAsia" w:cstheme="majorEastAsia"/>
          <w:bCs w:val="0"/>
        </w:rPr>
      </w:pPr>
    </w:p>
    <w:p>
      <w:pPr>
        <w:pStyle w:val="2"/>
        <w:spacing w:before="0" w:after="0" w:line="576" w:lineRule="exact"/>
        <w:jc w:val="center"/>
        <w:rPr>
          <w:rFonts w:hint="eastAsia" w:asciiTheme="majorEastAsia" w:hAnsiTheme="majorEastAsia" w:eastAsiaTheme="majorEastAsia" w:cstheme="majorEastAsia"/>
          <w:bCs w:val="0"/>
        </w:rPr>
      </w:pPr>
    </w:p>
    <w:p>
      <w:pPr>
        <w:rPr>
          <w:rFonts w:hint="eastAsia"/>
        </w:rPr>
      </w:pPr>
    </w:p>
    <w:p>
      <w:pPr>
        <w:pStyle w:val="2"/>
        <w:keepNext/>
        <w:keepLines/>
        <w:pageBreakBefore w:val="0"/>
        <w:widowControl w:val="0"/>
        <w:kinsoku/>
        <w:wordWrap/>
        <w:overflowPunct/>
        <w:topLinePunct w:val="0"/>
        <w:autoSpaceDE/>
        <w:autoSpaceDN/>
        <w:bidi w:val="0"/>
        <w:adjustRightInd/>
        <w:snapToGrid/>
        <w:spacing w:before="0" w:after="0" w:line="576" w:lineRule="exact"/>
        <w:jc w:val="center"/>
        <w:textAlignment w:val="auto"/>
        <w:rPr>
          <w:rFonts w:hint="eastAsia" w:asciiTheme="majorEastAsia" w:hAnsiTheme="majorEastAsia" w:eastAsiaTheme="majorEastAsia" w:cstheme="majorEastAsia"/>
          <w:bCs w:val="0"/>
        </w:rPr>
        <w:sectPr>
          <w:footerReference r:id="rId5" w:type="default"/>
          <w:pgSz w:w="11906" w:h="16838"/>
          <w:pgMar w:top="2098" w:right="1474" w:bottom="1984" w:left="1587" w:header="851" w:footer="992" w:gutter="0"/>
          <w:pgNumType w:fmt="decimal" w:start="1"/>
          <w:cols w:space="425" w:num="1"/>
          <w:docGrid w:type="lines" w:linePitch="312" w:charSpace="0"/>
        </w:sectPr>
      </w:pPr>
    </w:p>
    <w:p>
      <w:pPr>
        <w:pStyle w:val="2"/>
        <w:keepNext/>
        <w:keepLines/>
        <w:pageBreakBefore w:val="0"/>
        <w:widowControl w:val="0"/>
        <w:kinsoku/>
        <w:wordWrap/>
        <w:overflowPunct/>
        <w:topLinePunct w:val="0"/>
        <w:autoSpaceDE/>
        <w:autoSpaceDN/>
        <w:bidi w:val="0"/>
        <w:adjustRightInd/>
        <w:snapToGrid/>
        <w:spacing w:before="0" w:after="0" w:line="576" w:lineRule="exact"/>
        <w:jc w:val="center"/>
        <w:textAlignment w:val="auto"/>
        <w:rPr>
          <w:rStyle w:val="16"/>
          <w:rFonts w:asciiTheme="majorEastAsia" w:hAnsiTheme="majorEastAsia" w:eastAsiaTheme="majorEastAsia" w:cstheme="majorEastAsia"/>
          <w:b/>
          <w:bCs w:val="0"/>
        </w:rPr>
      </w:pPr>
      <w:r>
        <w:rPr>
          <w:rFonts w:hint="eastAsia" w:asciiTheme="majorEastAsia" w:hAnsiTheme="majorEastAsia" w:eastAsiaTheme="majorEastAsia" w:cstheme="majorEastAsia"/>
          <w:bCs w:val="0"/>
        </w:rPr>
        <w:t>第一部分</w:t>
      </w:r>
      <w:r>
        <w:rPr>
          <w:rFonts w:hint="eastAsia" w:asciiTheme="majorEastAsia" w:hAnsiTheme="majorEastAsia" w:eastAsiaTheme="majorEastAsia" w:cstheme="majorEastAsia"/>
          <w:bCs w:val="0"/>
          <w:lang w:val="en-US" w:eastAsia="zh-CN"/>
        </w:rPr>
        <w:t xml:space="preserve">  </w:t>
      </w:r>
      <w:r>
        <w:rPr>
          <w:rFonts w:hint="eastAsia" w:asciiTheme="majorEastAsia" w:hAnsiTheme="majorEastAsia" w:eastAsiaTheme="majorEastAsia" w:cstheme="majorEastAsia"/>
          <w:bCs w:val="0"/>
        </w:rPr>
        <w:t>单位</w:t>
      </w:r>
      <w:r>
        <w:rPr>
          <w:rStyle w:val="16"/>
          <w:rFonts w:hint="eastAsia" w:asciiTheme="majorEastAsia" w:hAnsiTheme="majorEastAsia" w:eastAsiaTheme="majorEastAsia" w:cstheme="majorEastAsia"/>
          <w:b/>
          <w:bCs w:val="0"/>
        </w:rPr>
        <w:t>概况</w:t>
      </w:r>
      <w:bookmarkEnd w:id="16"/>
    </w:p>
    <w:p>
      <w:pPr>
        <w:widowControl/>
        <w:spacing w:line="576" w:lineRule="exact"/>
        <w:ind w:firstLine="640" w:firstLineChars="200"/>
        <w:rPr>
          <w:rFonts w:ascii="黑体" w:eastAsia="黑体"/>
          <w:sz w:val="32"/>
          <w:szCs w:val="32"/>
        </w:rPr>
      </w:pPr>
    </w:p>
    <w:p>
      <w:pPr>
        <w:pStyle w:val="3"/>
        <w:pageBreakBefore w:val="0"/>
        <w:numPr>
          <w:ilvl w:val="0"/>
          <w:numId w:val="1"/>
        </w:numPr>
        <w:kinsoku/>
        <w:wordWrap/>
        <w:overflowPunct/>
        <w:topLinePunct w:val="0"/>
        <w:autoSpaceDE/>
        <w:autoSpaceDN/>
        <w:bidi w:val="0"/>
        <w:adjustRightInd/>
        <w:spacing w:before="0" w:beforeAutospacing="0" w:after="0" w:afterAutospacing="0" w:line="576" w:lineRule="exact"/>
        <w:ind w:firstLine="640" w:firstLineChars="200"/>
        <w:jc w:val="both"/>
        <w:textAlignment w:val="auto"/>
        <w:rPr>
          <w:rStyle w:val="17"/>
          <w:rFonts w:ascii="黑体" w:hAnsi="黑体" w:eastAsia="黑体"/>
          <w:b w:val="0"/>
          <w:bCs w:val="0"/>
        </w:rPr>
      </w:pPr>
      <w:bookmarkStart w:id="17" w:name="_Toc18661"/>
      <w:bookmarkStart w:id="18" w:name="_Toc15396600"/>
      <w:bookmarkStart w:id="19" w:name="_Toc15377197"/>
      <w:r>
        <w:rPr>
          <w:rStyle w:val="17"/>
          <w:rFonts w:hint="eastAsia" w:ascii="黑体" w:hAnsi="黑体" w:eastAsia="黑体"/>
          <w:b w:val="0"/>
          <w:bCs w:val="0"/>
        </w:rPr>
        <w:t>主要职责</w:t>
      </w:r>
      <w:bookmarkEnd w:id="17"/>
    </w:p>
    <w:p>
      <w:pPr>
        <w:pStyle w:val="26"/>
        <w:pageBreakBefore w:val="0"/>
        <w:kinsoku/>
        <w:wordWrap/>
        <w:overflowPunct/>
        <w:topLinePunct w:val="0"/>
        <w:autoSpaceDE/>
        <w:autoSpaceDN/>
        <w:bidi w:val="0"/>
        <w:adjustRightInd/>
        <w:spacing w:beforeAutospacing="0" w:afterAutospacing="0" w:line="576" w:lineRule="exact"/>
        <w:ind w:firstLine="640"/>
        <w:jc w:val="both"/>
        <w:textAlignment w:val="auto"/>
      </w:pPr>
      <w:r>
        <w:rPr>
          <w:rFonts w:hint="eastAsia" w:ascii="仿宋" w:hAnsi="仿宋" w:eastAsia="仿宋" w:cs="仿宋"/>
          <w:sz w:val="32"/>
          <w:szCs w:val="32"/>
        </w:rPr>
        <w:t>承担文物藏品安全、管理和利用工作；负责征集、典藏、陈列、研究代表自然和人类文化遗产的实物；负责广元文物考古调查、勘探、发掘、清理、保护工作；举办各类专题陈列展览；开展文博研究和学术交流活动。</w:t>
      </w:r>
      <w:r>
        <w:rPr>
          <w:rFonts w:hint="eastAsia" w:ascii="仿宋" w:hAnsi="仿宋" w:eastAsia="仿宋"/>
          <w:sz w:val="32"/>
          <w:szCs w:val="32"/>
        </w:rPr>
        <w:t xml:space="preserve">  </w:t>
      </w:r>
    </w:p>
    <w:p>
      <w:pPr>
        <w:pStyle w:val="3"/>
        <w:pageBreakBefore w:val="0"/>
        <w:kinsoku/>
        <w:wordWrap/>
        <w:overflowPunct/>
        <w:topLinePunct w:val="0"/>
        <w:autoSpaceDE/>
        <w:autoSpaceDN/>
        <w:bidi w:val="0"/>
        <w:adjustRightInd/>
        <w:spacing w:before="0" w:beforeAutospacing="0" w:after="0" w:afterAutospacing="0" w:line="576" w:lineRule="exact"/>
        <w:ind w:firstLine="640" w:firstLineChars="200"/>
        <w:jc w:val="both"/>
        <w:textAlignment w:val="auto"/>
        <w:rPr>
          <w:rFonts w:ascii="黑体" w:hAnsi="黑体" w:eastAsia="黑体"/>
          <w:b w:val="0"/>
        </w:rPr>
      </w:pPr>
      <w:bookmarkStart w:id="20" w:name="_Toc8420"/>
      <w:r>
        <w:rPr>
          <w:rFonts w:hint="eastAsia" w:ascii="黑体" w:hAnsi="黑体" w:eastAsia="黑体"/>
          <w:b w:val="0"/>
        </w:rPr>
        <w:t>二、机构设置</w:t>
      </w:r>
      <w:bookmarkEnd w:id="20"/>
    </w:p>
    <w:bookmarkEnd w:id="18"/>
    <w:bookmarkEnd w:id="19"/>
    <w:p>
      <w:pPr>
        <w:pageBreakBefore w:val="0"/>
        <w:widowControl/>
        <w:kinsoku/>
        <w:wordWrap/>
        <w:overflowPunct/>
        <w:topLinePunct w:val="0"/>
        <w:autoSpaceDE/>
        <w:autoSpaceDN/>
        <w:bidi w:val="0"/>
        <w:adjustRightInd/>
        <w:snapToGrid w:val="0"/>
        <w:spacing w:beforeAutospacing="0" w:afterAutospacing="0" w:line="576" w:lineRule="exact"/>
        <w:ind w:firstLine="640" w:firstLineChars="200"/>
        <w:jc w:val="both"/>
        <w:textAlignment w:val="auto"/>
        <w:rPr>
          <w:rFonts w:hint="eastAsia" w:ascii="仿宋" w:hAnsi="仿宋" w:eastAsia="仿宋"/>
          <w:sz w:val="30"/>
          <w:szCs w:val="30"/>
          <w:lang w:val="en-US" w:eastAsia="zh-CN"/>
        </w:rPr>
      </w:pPr>
      <w:r>
        <w:rPr>
          <w:rFonts w:ascii="仿宋" w:hAnsi="仿宋" w:eastAsia="仿宋" w:cs="仿宋"/>
          <w:sz w:val="32"/>
          <w:szCs w:val="32"/>
        </w:rPr>
        <w:t>广元市博物馆属于广元市文化广播电视和旅游局下属的二级预算单位，下设独立编制机构1个，其中行政机关0个，参照公务员法管理的事业机构0个，其他事业机构1个。</w:t>
      </w:r>
      <w:r>
        <w:rPr>
          <w:rFonts w:hint="eastAsia" w:ascii="仿宋" w:hAnsi="仿宋" w:eastAsia="仿宋"/>
          <w:sz w:val="30"/>
          <w:szCs w:val="30"/>
        </w:rPr>
        <w:t>我馆设4部1室</w:t>
      </w:r>
      <w:r>
        <w:rPr>
          <w:rFonts w:hint="eastAsia" w:ascii="仿宋" w:hAnsi="仿宋" w:eastAsia="仿宋"/>
          <w:sz w:val="30"/>
          <w:szCs w:val="30"/>
          <w:lang w:val="en-US" w:eastAsia="zh-CN"/>
        </w:rPr>
        <w:t>1中心</w:t>
      </w:r>
      <w:r>
        <w:rPr>
          <w:rFonts w:hint="eastAsia" w:ascii="仿宋" w:hAnsi="仿宋" w:eastAsia="仿宋"/>
          <w:sz w:val="30"/>
          <w:szCs w:val="30"/>
        </w:rPr>
        <w:t>，安保部</w:t>
      </w:r>
      <w:r>
        <w:rPr>
          <w:rFonts w:hint="eastAsia" w:ascii="仿宋" w:hAnsi="仿宋" w:eastAsia="仿宋"/>
          <w:sz w:val="30"/>
          <w:szCs w:val="30"/>
          <w:lang w:eastAsia="zh-CN"/>
        </w:rPr>
        <w:t>、</w:t>
      </w:r>
      <w:r>
        <w:rPr>
          <w:rFonts w:hint="eastAsia" w:ascii="仿宋" w:hAnsi="仿宋" w:eastAsia="仿宋"/>
          <w:sz w:val="30"/>
          <w:szCs w:val="30"/>
        </w:rPr>
        <w:t>宣教部、典藏部及展陈部</w:t>
      </w:r>
      <w:r>
        <w:rPr>
          <w:rFonts w:hint="eastAsia" w:ascii="仿宋" w:hAnsi="仿宋" w:eastAsia="仿宋"/>
          <w:sz w:val="30"/>
          <w:szCs w:val="30"/>
          <w:lang w:eastAsia="zh-CN"/>
        </w:rPr>
        <w:t>，</w:t>
      </w:r>
      <w:r>
        <w:rPr>
          <w:rFonts w:hint="eastAsia" w:ascii="仿宋" w:hAnsi="仿宋" w:eastAsia="仿宋"/>
          <w:sz w:val="30"/>
          <w:szCs w:val="30"/>
        </w:rPr>
        <w:t>办公室</w:t>
      </w:r>
      <w:r>
        <w:rPr>
          <w:rFonts w:hint="eastAsia" w:ascii="仿宋" w:hAnsi="仿宋" w:eastAsia="仿宋"/>
          <w:sz w:val="30"/>
          <w:szCs w:val="30"/>
          <w:lang w:eastAsia="zh-CN"/>
        </w:rPr>
        <w:t>，</w:t>
      </w:r>
      <w:r>
        <w:rPr>
          <w:rFonts w:hint="eastAsia" w:ascii="仿宋" w:hAnsi="仿宋" w:eastAsia="仿宋"/>
          <w:sz w:val="30"/>
          <w:szCs w:val="30"/>
          <w:lang w:val="en-US" w:eastAsia="zh-CN"/>
        </w:rPr>
        <w:t>信息（对外交流）中心</w:t>
      </w:r>
      <w:r>
        <w:rPr>
          <w:rFonts w:hint="eastAsia" w:ascii="仿宋" w:hAnsi="仿宋" w:eastAsia="仿宋"/>
          <w:sz w:val="30"/>
          <w:szCs w:val="30"/>
        </w:rPr>
        <w:t>。</w:t>
      </w:r>
    </w:p>
    <w:p>
      <w:pPr>
        <w:pageBreakBefore w:val="0"/>
        <w:widowControl/>
        <w:kinsoku/>
        <w:wordWrap/>
        <w:overflowPunct/>
        <w:topLinePunct w:val="0"/>
        <w:autoSpaceDE/>
        <w:autoSpaceDN/>
        <w:bidi w:val="0"/>
        <w:adjustRightInd/>
        <w:spacing w:line="576" w:lineRule="exact"/>
        <w:ind w:firstLine="640" w:firstLineChars="200"/>
        <w:textAlignment w:val="auto"/>
        <w:rPr>
          <w:rFonts w:ascii="仿宋" w:hAnsi="仿宋" w:eastAsia="仿宋"/>
          <w:kern w:val="0"/>
          <w:sz w:val="32"/>
          <w:szCs w:val="32"/>
        </w:rPr>
      </w:pPr>
      <w:r>
        <w:rPr>
          <w:rFonts w:ascii="仿宋" w:hAnsi="仿宋" w:eastAsia="仿宋"/>
          <w:sz w:val="32"/>
          <w:szCs w:val="32"/>
        </w:rPr>
        <w:br w:type="page"/>
      </w:r>
    </w:p>
    <w:p>
      <w:pPr>
        <w:pStyle w:val="2"/>
        <w:spacing w:before="0" w:after="0" w:line="576" w:lineRule="exact"/>
        <w:jc w:val="center"/>
        <w:rPr>
          <w:rStyle w:val="16"/>
          <w:rFonts w:asciiTheme="majorEastAsia" w:hAnsiTheme="majorEastAsia" w:eastAsiaTheme="majorEastAsia" w:cstheme="majorEastAsia"/>
          <w:b/>
          <w:bCs w:val="0"/>
        </w:rPr>
      </w:pPr>
      <w:bookmarkStart w:id="21" w:name="_Toc15377204"/>
      <w:bookmarkStart w:id="22" w:name="_Toc26539"/>
      <w:bookmarkStart w:id="23" w:name="_Toc15396602"/>
      <w:r>
        <w:rPr>
          <w:rFonts w:hint="eastAsia" w:asciiTheme="majorEastAsia" w:hAnsiTheme="majorEastAsia" w:eastAsiaTheme="majorEastAsia" w:cstheme="majorEastAsia"/>
          <w:bCs w:val="0"/>
        </w:rPr>
        <w:t>第二部分</w:t>
      </w:r>
      <w:r>
        <w:rPr>
          <w:rFonts w:hint="eastAsia" w:asciiTheme="majorEastAsia" w:hAnsiTheme="majorEastAsia" w:eastAsiaTheme="majorEastAsia" w:cstheme="majorEastAsia"/>
          <w:bCs w:val="0"/>
          <w:lang w:val="en-US" w:eastAsia="zh-CN"/>
        </w:rPr>
        <w:t xml:space="preserve"> </w:t>
      </w:r>
      <w:r>
        <w:rPr>
          <w:rFonts w:hint="eastAsia" w:asciiTheme="majorEastAsia" w:hAnsiTheme="majorEastAsia" w:eastAsiaTheme="majorEastAsia" w:cstheme="majorEastAsia"/>
          <w:bCs w:val="0"/>
        </w:rPr>
        <w:t xml:space="preserve"> 202</w:t>
      </w:r>
      <w:r>
        <w:rPr>
          <w:rFonts w:hint="eastAsia" w:asciiTheme="majorEastAsia" w:hAnsiTheme="majorEastAsia" w:eastAsiaTheme="majorEastAsia" w:cstheme="majorEastAsia"/>
          <w:bCs w:val="0"/>
          <w:lang w:val="en-US" w:eastAsia="zh-CN"/>
        </w:rPr>
        <w:t>4</w:t>
      </w:r>
      <w:r>
        <w:rPr>
          <w:rFonts w:hint="eastAsia" w:asciiTheme="majorEastAsia" w:hAnsiTheme="majorEastAsia" w:eastAsiaTheme="majorEastAsia" w:cstheme="majorEastAsia"/>
          <w:bCs w:val="0"/>
        </w:rPr>
        <w:t>年度</w:t>
      </w:r>
      <w:r>
        <w:rPr>
          <w:rStyle w:val="16"/>
          <w:rFonts w:hint="eastAsia" w:asciiTheme="majorEastAsia" w:hAnsiTheme="majorEastAsia" w:eastAsiaTheme="majorEastAsia" w:cstheme="majorEastAsia"/>
          <w:b/>
          <w:bCs w:val="0"/>
        </w:rPr>
        <w:t>单位决算情况说明</w:t>
      </w:r>
      <w:bookmarkEnd w:id="21"/>
      <w:bookmarkEnd w:id="22"/>
      <w:bookmarkEnd w:id="23"/>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pPr>
    </w:p>
    <w:p>
      <w:pPr>
        <w:pStyle w:val="26"/>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1"/>
        <w:rPr>
          <w:rStyle w:val="17"/>
          <w:rFonts w:ascii="黑体" w:hAnsi="黑体" w:eastAsia="黑体"/>
          <w:b w:val="0"/>
        </w:rPr>
      </w:pPr>
      <w:bookmarkStart w:id="24" w:name="_Toc22780"/>
      <w:bookmarkStart w:id="25" w:name="_Toc15377205"/>
      <w:bookmarkStart w:id="26" w:name="_Toc15396603"/>
      <w:r>
        <w:rPr>
          <w:rFonts w:hint="eastAsia" w:ascii="黑体" w:hAnsi="黑体" w:eastAsia="黑体"/>
          <w:sz w:val="32"/>
          <w:szCs w:val="32"/>
        </w:rPr>
        <w:t>一、收</w:t>
      </w:r>
      <w:r>
        <w:rPr>
          <w:rStyle w:val="17"/>
          <w:rFonts w:hint="eastAsia" w:ascii="黑体" w:hAnsi="黑体" w:eastAsia="黑体"/>
          <w:b w:val="0"/>
        </w:rPr>
        <w:t>入支出决算总体情况说明</w:t>
      </w:r>
      <w:bookmarkEnd w:id="24"/>
      <w:bookmarkEnd w:id="25"/>
      <w:bookmarkEnd w:id="2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年度收、支总计</w:t>
      </w:r>
      <w:r>
        <w:rPr>
          <w:rFonts w:hint="eastAsia" w:ascii="仿宋" w:hAnsi="仿宋" w:eastAsia="仿宋" w:cs="仿宋"/>
          <w:sz w:val="32"/>
          <w:szCs w:val="32"/>
          <w:lang w:val="en-US" w:eastAsia="zh-CN"/>
        </w:rPr>
        <w:t>465.01</w:t>
      </w:r>
      <w:r>
        <w:rPr>
          <w:rFonts w:hint="eastAsia" w:ascii="仿宋" w:hAnsi="仿宋" w:eastAsia="仿宋" w:cs="仿宋"/>
          <w:sz w:val="32"/>
          <w:szCs w:val="32"/>
        </w:rPr>
        <w:t>万元。与202</w:t>
      </w:r>
      <w:r>
        <w:rPr>
          <w:rFonts w:hint="eastAsia" w:ascii="仿宋" w:hAnsi="仿宋" w:eastAsia="仿宋" w:cs="仿宋"/>
          <w:sz w:val="32"/>
          <w:szCs w:val="32"/>
          <w:lang w:val="en-US" w:eastAsia="zh-CN"/>
        </w:rPr>
        <w:t>3</w:t>
      </w:r>
      <w:r>
        <w:rPr>
          <w:rFonts w:hint="eastAsia" w:ascii="仿宋" w:hAnsi="仿宋" w:eastAsia="仿宋" w:cs="仿宋"/>
          <w:sz w:val="32"/>
          <w:szCs w:val="32"/>
        </w:rPr>
        <w:t>年相比，收、支总计各</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63.08</w:t>
      </w:r>
      <w:r>
        <w:rPr>
          <w:rFonts w:hint="eastAsia" w:ascii="仿宋" w:hAnsi="仿宋" w:eastAsia="仿宋" w:cs="仿宋"/>
          <w:sz w:val="32"/>
          <w:szCs w:val="32"/>
        </w:rPr>
        <w:t>万元，</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11.94</w:t>
      </w:r>
      <w:r>
        <w:rPr>
          <w:rFonts w:hint="eastAsia" w:ascii="仿宋" w:hAnsi="仿宋" w:eastAsia="仿宋" w:cs="仿宋"/>
          <w:sz w:val="32"/>
          <w:szCs w:val="32"/>
        </w:rPr>
        <w:t>%。主要变动原因是</w:t>
      </w:r>
      <w:r>
        <w:rPr>
          <w:rFonts w:hint="eastAsia" w:ascii="仿宋" w:hAnsi="仿宋" w:eastAsia="仿宋" w:cs="仿宋"/>
          <w:sz w:val="32"/>
          <w:szCs w:val="32"/>
          <w:lang w:eastAsia="zh-CN"/>
        </w:rPr>
        <w:t>辞职人员</w:t>
      </w:r>
      <w:r>
        <w:rPr>
          <w:rFonts w:hint="eastAsia" w:ascii="仿宋" w:hAnsi="仿宋" w:eastAsia="仿宋" w:cs="仿宋"/>
          <w:sz w:val="32"/>
          <w:szCs w:val="32"/>
          <w:lang w:val="en-US" w:eastAsia="zh-CN"/>
        </w:rPr>
        <w:t>1名，人员</w:t>
      </w:r>
      <w:r>
        <w:rPr>
          <w:rFonts w:hint="eastAsia" w:ascii="仿宋" w:hAnsi="仿宋" w:eastAsia="仿宋" w:cs="仿宋"/>
          <w:sz w:val="32"/>
          <w:szCs w:val="32"/>
          <w:lang w:eastAsia="zh-CN"/>
        </w:rPr>
        <w:t>经费、公用经费减少</w:t>
      </w:r>
      <w:r>
        <w:rPr>
          <w:rFonts w:hint="eastAsia" w:ascii="仿宋" w:hAnsi="仿宋" w:eastAsia="仿宋" w:cs="仿宋"/>
          <w:color w:val="000000"/>
          <w:sz w:val="32"/>
          <w:szCs w:val="32"/>
          <w:lang w:eastAsia="zh-CN"/>
        </w:rPr>
        <w:t>及免费开放项目经费减少</w:t>
      </w:r>
      <w:r>
        <w:rPr>
          <w:rFonts w:hint="eastAsia" w:ascii="仿宋" w:hAnsi="仿宋" w:eastAsia="仿宋" w:cs="仿宋"/>
          <w:color w:val="000000"/>
          <w:sz w:val="32"/>
          <w:szCs w:val="32"/>
        </w:rPr>
        <w:t>。</w:t>
      </w:r>
      <w:bookmarkStart w:id="27" w:name="_1724241502"/>
      <w:bookmarkEnd w:id="27"/>
    </w:p>
    <w:p>
      <w:pPr>
        <w:jc w:val="center"/>
        <w:rPr>
          <w:rFonts w:ascii="华文仿宋" w:hAnsi="华文仿宋" w:eastAsia="华文仿宋"/>
        </w:rPr>
      </w:pPr>
      <w:r>
        <w:rPr>
          <w:rFonts w:hint="eastAsia" w:ascii="华文仿宋" w:hAnsi="华文仿宋" w:eastAsia="华文仿宋"/>
          <w:lang w:val="en-US" w:eastAsia="zh-CN"/>
        </w:rPr>
        <w:t xml:space="preserve"> </w:t>
      </w:r>
      <w:r>
        <w:rPr>
          <w:rFonts w:hint="eastAsia" w:ascii="华文仿宋" w:hAnsi="华文仿宋" w:eastAsia="华文仿宋"/>
        </w:rPr>
        <w:drawing>
          <wp:inline distT="0" distB="0" distL="114300" distR="114300">
            <wp:extent cx="4867275" cy="2610485"/>
            <wp:effectExtent l="4445" t="4445" r="5080" b="13970"/>
            <wp:docPr id="6" name="图表 6" descr="7b0a202020202263686172745265734964223a2022343632353834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jc w:val="center"/>
        <w:rPr>
          <w:rFonts w:ascii="华文仿宋" w:hAnsi="华文仿宋" w:eastAsia="华文仿宋"/>
          <w:sz w:val="32"/>
          <w:szCs w:val="32"/>
        </w:rPr>
      </w:pPr>
      <w:r>
        <w:rPr>
          <w:rFonts w:hint="eastAsia" w:ascii="楷体" w:hAnsi="楷体" w:eastAsia="楷体" w:cs="楷体"/>
          <w:sz w:val="28"/>
          <w:szCs w:val="28"/>
        </w:rPr>
        <w:t>（图1：收、支决算总计变动情况图）</w:t>
      </w:r>
    </w:p>
    <w:p>
      <w:pPr>
        <w:pStyle w:val="26"/>
        <w:spacing w:line="576" w:lineRule="exact"/>
        <w:ind w:firstLine="640"/>
        <w:outlineLvl w:val="1"/>
        <w:rPr>
          <w:rStyle w:val="17"/>
          <w:rFonts w:ascii="黑体" w:hAnsi="黑体" w:eastAsia="黑体" w:cs="黑体"/>
          <w:b w:val="0"/>
        </w:rPr>
      </w:pPr>
      <w:bookmarkStart w:id="28" w:name="_Toc15396604"/>
      <w:bookmarkStart w:id="29" w:name="_Toc24139"/>
      <w:bookmarkStart w:id="30" w:name="_Toc15377206"/>
      <w:r>
        <w:rPr>
          <w:rFonts w:hint="eastAsia" w:ascii="黑体" w:hAnsi="黑体" w:eastAsia="黑体" w:cs="黑体"/>
          <w:sz w:val="32"/>
          <w:szCs w:val="32"/>
        </w:rPr>
        <w:t>二、收</w:t>
      </w:r>
      <w:r>
        <w:rPr>
          <w:rStyle w:val="17"/>
          <w:rFonts w:hint="eastAsia" w:ascii="黑体" w:hAnsi="黑体" w:eastAsia="黑体" w:cs="黑体"/>
          <w:b w:val="0"/>
        </w:rPr>
        <w:t>入决算情况说明</w:t>
      </w:r>
      <w:bookmarkEnd w:id="28"/>
      <w:bookmarkEnd w:id="29"/>
      <w:bookmarkEnd w:id="30"/>
    </w:p>
    <w:p>
      <w:pPr>
        <w:spacing w:line="576" w:lineRule="exact"/>
        <w:ind w:firstLine="640" w:firstLineChars="200"/>
        <w:outlineLvl w:val="1"/>
        <w:rPr>
          <w:rFonts w:hint="eastAsia" w:ascii="仿宋" w:hAnsi="仿宋" w:eastAsia="仿宋" w:cs="仿宋"/>
          <w:sz w:val="32"/>
          <w:szCs w:val="32"/>
        </w:rPr>
      </w:pPr>
      <w:bookmarkStart w:id="31" w:name="_Toc2453"/>
      <w:bookmarkStart w:id="32" w:name="_Toc1033"/>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年本年收入合计</w:t>
      </w:r>
      <w:r>
        <w:rPr>
          <w:rFonts w:hint="eastAsia" w:ascii="仿宋" w:hAnsi="仿宋" w:eastAsia="仿宋" w:cs="仿宋"/>
          <w:sz w:val="32"/>
          <w:szCs w:val="32"/>
          <w:lang w:val="en-US" w:eastAsia="zh-CN"/>
        </w:rPr>
        <w:t>464.61</w:t>
      </w:r>
      <w:r>
        <w:rPr>
          <w:rFonts w:hint="eastAsia" w:ascii="仿宋" w:hAnsi="仿宋" w:eastAsia="仿宋" w:cs="仿宋"/>
          <w:sz w:val="32"/>
          <w:szCs w:val="32"/>
        </w:rPr>
        <w:t>万元，其中：一般公共预算财政拨款收入</w:t>
      </w:r>
      <w:r>
        <w:rPr>
          <w:rFonts w:hint="eastAsia" w:ascii="仿宋" w:hAnsi="仿宋" w:eastAsia="仿宋" w:cs="仿宋"/>
          <w:sz w:val="32"/>
          <w:szCs w:val="32"/>
          <w:lang w:val="en-US" w:eastAsia="zh-CN"/>
        </w:rPr>
        <w:t>463.34</w:t>
      </w:r>
      <w:r>
        <w:rPr>
          <w:rFonts w:hint="eastAsia" w:ascii="仿宋" w:hAnsi="仿宋" w:eastAsia="仿宋" w:cs="仿宋"/>
          <w:sz w:val="32"/>
          <w:szCs w:val="32"/>
        </w:rPr>
        <w:t>万元，占99.</w:t>
      </w:r>
      <w:r>
        <w:rPr>
          <w:rFonts w:hint="eastAsia" w:ascii="仿宋" w:hAnsi="仿宋" w:eastAsia="仿宋" w:cs="仿宋"/>
          <w:sz w:val="32"/>
          <w:szCs w:val="32"/>
          <w:lang w:val="en-US" w:eastAsia="zh-CN"/>
        </w:rPr>
        <w:t>73</w:t>
      </w:r>
      <w:r>
        <w:rPr>
          <w:rFonts w:hint="eastAsia" w:ascii="仿宋" w:hAnsi="仿宋" w:eastAsia="仿宋" w:cs="仿宋"/>
          <w:sz w:val="32"/>
          <w:szCs w:val="32"/>
        </w:rPr>
        <w:t>%；其他收入</w:t>
      </w:r>
      <w:r>
        <w:rPr>
          <w:rFonts w:hint="eastAsia" w:ascii="仿宋" w:hAnsi="仿宋" w:eastAsia="仿宋" w:cs="仿宋"/>
          <w:sz w:val="32"/>
          <w:szCs w:val="32"/>
          <w:lang w:val="en-US" w:eastAsia="zh-CN"/>
        </w:rPr>
        <w:t>1.27</w:t>
      </w:r>
      <w:r>
        <w:rPr>
          <w:rFonts w:hint="eastAsia" w:ascii="仿宋" w:hAnsi="仿宋" w:eastAsia="仿宋" w:cs="仿宋"/>
          <w:sz w:val="32"/>
          <w:szCs w:val="32"/>
        </w:rPr>
        <w:t>万元，占</w:t>
      </w:r>
      <w:r>
        <w:rPr>
          <w:rFonts w:hint="eastAsia" w:ascii="仿宋" w:hAnsi="仿宋" w:eastAsia="仿宋" w:cs="仿宋"/>
          <w:sz w:val="32"/>
          <w:szCs w:val="32"/>
          <w:lang w:val="en-US" w:eastAsia="zh-CN"/>
        </w:rPr>
        <w:t>0.27</w:t>
      </w:r>
      <w:r>
        <w:rPr>
          <w:rFonts w:hint="eastAsia" w:ascii="仿宋" w:hAnsi="仿宋" w:eastAsia="仿宋" w:cs="仿宋"/>
          <w:sz w:val="32"/>
          <w:szCs w:val="32"/>
        </w:rPr>
        <w:t>%。</w:t>
      </w:r>
      <w:bookmarkEnd w:id="31"/>
      <w:bookmarkEnd w:id="32"/>
    </w:p>
    <w:p>
      <w:pPr>
        <w:pStyle w:val="5"/>
        <w:spacing w:beforeLines="0"/>
        <w:jc w:val="center"/>
        <w:rPr>
          <w:rFonts w:ascii="华文仿宋" w:hAnsi="华文仿宋" w:eastAsia="华文仿宋"/>
          <w:sz w:val="32"/>
          <w:szCs w:val="32"/>
        </w:rPr>
      </w:pPr>
      <w:r>
        <w:rPr>
          <w:rFonts w:hint="eastAsia" w:ascii="仿宋" w:hAnsi="仿宋" w:eastAsia="仿宋"/>
          <w:sz w:val="32"/>
          <w:szCs w:val="32"/>
          <w:lang w:eastAsia="zh-CN"/>
        </w:rPr>
        <w:drawing>
          <wp:inline distT="0" distB="0" distL="114300" distR="114300">
            <wp:extent cx="4808855" cy="2674620"/>
            <wp:effectExtent l="4445" t="5080" r="6350" b="635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jc w:val="center"/>
        <w:outlineLvl w:val="1"/>
        <w:rPr>
          <w:rFonts w:ascii="华文仿宋" w:hAnsi="华文仿宋" w:eastAsia="华文仿宋"/>
          <w:sz w:val="28"/>
          <w:szCs w:val="28"/>
        </w:rPr>
      </w:pPr>
      <w:bookmarkStart w:id="33" w:name="_Toc15445"/>
      <w:bookmarkStart w:id="34" w:name="_Toc28031"/>
      <w:r>
        <w:rPr>
          <w:rFonts w:hint="eastAsia" w:ascii="楷体" w:hAnsi="楷体" w:eastAsia="楷体" w:cs="楷体"/>
          <w:sz w:val="28"/>
          <w:szCs w:val="28"/>
        </w:rPr>
        <w:t>（图2：收入决算结构图）</w:t>
      </w:r>
      <w:bookmarkEnd w:id="33"/>
      <w:bookmarkEnd w:id="34"/>
    </w:p>
    <w:p>
      <w:pPr>
        <w:pStyle w:val="26"/>
        <w:spacing w:line="576" w:lineRule="exact"/>
        <w:ind w:firstLine="640"/>
        <w:outlineLvl w:val="1"/>
        <w:rPr>
          <w:rStyle w:val="17"/>
          <w:rFonts w:ascii="黑体" w:hAnsi="黑体" w:eastAsia="黑体" w:cs="黑体"/>
          <w:b w:val="0"/>
        </w:rPr>
      </w:pPr>
      <w:bookmarkStart w:id="35" w:name="_Toc28161"/>
      <w:bookmarkStart w:id="36" w:name="_Toc15396605"/>
      <w:bookmarkStart w:id="37" w:name="_Toc15377207"/>
      <w:r>
        <w:rPr>
          <w:rFonts w:hint="eastAsia" w:ascii="黑体" w:hAnsi="黑体" w:eastAsia="黑体" w:cs="黑体"/>
          <w:sz w:val="32"/>
          <w:szCs w:val="32"/>
        </w:rPr>
        <w:t>三、支</w:t>
      </w:r>
      <w:r>
        <w:rPr>
          <w:rStyle w:val="17"/>
          <w:rFonts w:hint="eastAsia" w:ascii="黑体" w:hAnsi="黑体" w:eastAsia="黑体" w:cs="黑体"/>
          <w:b w:val="0"/>
        </w:rPr>
        <w:t>出决算情况说明</w:t>
      </w:r>
      <w:bookmarkEnd w:id="35"/>
      <w:bookmarkEnd w:id="36"/>
      <w:bookmarkEnd w:id="37"/>
    </w:p>
    <w:p>
      <w:pPr>
        <w:keepNext/>
        <w:keepLines/>
        <w:spacing w:line="576" w:lineRule="exact"/>
        <w:ind w:firstLine="640" w:firstLineChars="200"/>
        <w:rPr>
          <w:rFonts w:ascii="华文仿宋" w:hAnsi="华文仿宋" w:eastAsia="华文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年本年支出合计</w:t>
      </w:r>
      <w:r>
        <w:rPr>
          <w:rFonts w:hint="eastAsia" w:ascii="仿宋" w:hAnsi="仿宋" w:eastAsia="仿宋" w:cs="仿宋"/>
          <w:color w:val="auto"/>
          <w:sz w:val="32"/>
          <w:szCs w:val="32"/>
          <w:lang w:val="en-US" w:eastAsia="zh-CN"/>
        </w:rPr>
        <w:t>464.95</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209.87</w:t>
      </w:r>
      <w:r>
        <w:rPr>
          <w:rFonts w:hint="eastAsia" w:ascii="仿宋" w:hAnsi="仿宋" w:eastAsia="仿宋" w:cs="仿宋"/>
          <w:sz w:val="32"/>
          <w:szCs w:val="32"/>
        </w:rPr>
        <w:t>万元，占</w:t>
      </w:r>
      <w:r>
        <w:rPr>
          <w:rFonts w:hint="eastAsia" w:ascii="仿宋" w:hAnsi="仿宋" w:eastAsia="仿宋" w:cs="仿宋"/>
          <w:sz w:val="32"/>
          <w:szCs w:val="32"/>
          <w:lang w:val="en-US" w:eastAsia="zh-CN"/>
        </w:rPr>
        <w:t>45.14</w:t>
      </w:r>
      <w:r>
        <w:rPr>
          <w:rFonts w:hint="eastAsia" w:ascii="仿宋" w:hAnsi="仿宋" w:eastAsia="仿宋" w:cs="仿宋"/>
          <w:sz w:val="32"/>
          <w:szCs w:val="32"/>
        </w:rPr>
        <w:t>%；项目支出</w:t>
      </w:r>
      <w:r>
        <w:rPr>
          <w:rFonts w:hint="eastAsia" w:ascii="仿宋" w:hAnsi="仿宋" w:eastAsia="仿宋" w:cs="仿宋"/>
          <w:sz w:val="32"/>
          <w:szCs w:val="32"/>
          <w:lang w:val="en-US" w:eastAsia="zh-CN"/>
        </w:rPr>
        <w:t>255.08</w:t>
      </w:r>
      <w:r>
        <w:rPr>
          <w:rFonts w:hint="eastAsia" w:ascii="仿宋" w:hAnsi="仿宋" w:eastAsia="仿宋" w:cs="仿宋"/>
          <w:sz w:val="32"/>
          <w:szCs w:val="32"/>
        </w:rPr>
        <w:t>万元，占</w:t>
      </w:r>
      <w:r>
        <w:rPr>
          <w:rFonts w:hint="eastAsia" w:ascii="仿宋" w:hAnsi="仿宋" w:eastAsia="仿宋" w:cs="仿宋"/>
          <w:sz w:val="32"/>
          <w:szCs w:val="32"/>
          <w:lang w:val="en-US" w:eastAsia="zh-CN"/>
        </w:rPr>
        <w:t>54.86</w:t>
      </w:r>
      <w:r>
        <w:rPr>
          <w:rFonts w:hint="eastAsia" w:ascii="仿宋" w:hAnsi="仿宋" w:eastAsia="仿宋" w:cs="仿宋"/>
          <w:sz w:val="32"/>
          <w:szCs w:val="32"/>
        </w:rPr>
        <w:t>%</w:t>
      </w:r>
      <w:r>
        <w:rPr>
          <w:rFonts w:hint="eastAsia" w:ascii="仿宋" w:hAnsi="仿宋" w:eastAsia="仿宋" w:cs="仿宋"/>
          <w:color w:val="000000"/>
          <w:sz w:val="32"/>
          <w:szCs w:val="32"/>
        </w:rPr>
        <w:t>。</w:t>
      </w:r>
    </w:p>
    <w:p>
      <w:pPr>
        <w:jc w:val="center"/>
        <w:rPr>
          <w:rFonts w:ascii="华文仿宋" w:hAnsi="华文仿宋" w:eastAsia="华文仿宋"/>
          <w:sz w:val="32"/>
          <w:szCs w:val="32"/>
        </w:rPr>
      </w:pPr>
      <w:r>
        <w:rPr>
          <w:rFonts w:hint="eastAsia" w:ascii="楷体" w:hAnsi="楷体" w:eastAsia="楷体" w:cs="楷体"/>
          <w:sz w:val="28"/>
          <w:szCs w:val="28"/>
        </w:rPr>
        <w:drawing>
          <wp:anchor distT="0" distB="0" distL="114300" distR="114300" simplePos="0" relativeHeight="251661312" behindDoc="0" locked="0" layoutInCell="1" allowOverlap="1">
            <wp:simplePos x="0" y="0"/>
            <wp:positionH relativeFrom="column">
              <wp:posOffset>217170</wp:posOffset>
            </wp:positionH>
            <wp:positionV relativeFrom="paragraph">
              <wp:posOffset>229870</wp:posOffset>
            </wp:positionV>
            <wp:extent cx="4827905" cy="2684780"/>
            <wp:effectExtent l="5080" t="4445" r="5715" b="15875"/>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楷体" w:hAnsi="楷体" w:eastAsia="楷体" w:cs="楷体"/>
          <w:sz w:val="28"/>
          <w:szCs w:val="28"/>
        </w:rPr>
        <w:t>（图3：支出决算结构图）</w:t>
      </w:r>
    </w:p>
    <w:p>
      <w:pPr>
        <w:spacing w:line="576" w:lineRule="exact"/>
        <w:ind w:firstLine="640" w:firstLineChars="200"/>
        <w:jc w:val="both"/>
        <w:outlineLvl w:val="1"/>
        <w:rPr>
          <w:rStyle w:val="17"/>
          <w:rFonts w:ascii="华文仿宋" w:hAnsi="华文仿宋" w:eastAsia="华文仿宋"/>
          <w:b w:val="0"/>
        </w:rPr>
      </w:pPr>
      <w:bookmarkStart w:id="38" w:name="_Toc15396606"/>
      <w:bookmarkStart w:id="39" w:name="_Toc15377208"/>
      <w:bookmarkStart w:id="40" w:name="_Toc3836"/>
      <w:r>
        <w:rPr>
          <w:rFonts w:hint="eastAsia" w:ascii="黑体" w:hAnsi="黑体" w:eastAsia="黑体" w:cs="黑体"/>
          <w:sz w:val="32"/>
          <w:szCs w:val="32"/>
        </w:rPr>
        <w:t>四、财</w:t>
      </w:r>
      <w:r>
        <w:rPr>
          <w:rStyle w:val="17"/>
          <w:rFonts w:hint="eastAsia" w:ascii="黑体" w:hAnsi="黑体" w:eastAsia="黑体" w:cs="黑体"/>
          <w:b w:val="0"/>
        </w:rPr>
        <w:t>政拨款收入支出决算总体情况说明</w:t>
      </w:r>
      <w:bookmarkEnd w:id="38"/>
      <w:bookmarkEnd w:id="39"/>
      <w:bookmarkEnd w:id="4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华文仿宋" w:hAnsi="华文仿宋" w:eastAsia="华文仿宋"/>
          <w:color w:val="000000"/>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年财政拨款收、支总计</w:t>
      </w:r>
      <w:r>
        <w:rPr>
          <w:rFonts w:hint="eastAsia" w:ascii="仿宋" w:hAnsi="仿宋" w:eastAsia="仿宋" w:cs="仿宋"/>
          <w:sz w:val="32"/>
          <w:szCs w:val="32"/>
          <w:lang w:val="en-US" w:eastAsia="zh-CN"/>
        </w:rPr>
        <w:t>463.74</w:t>
      </w:r>
      <w:r>
        <w:rPr>
          <w:rFonts w:hint="eastAsia" w:ascii="仿宋" w:hAnsi="仿宋" w:eastAsia="仿宋" w:cs="仿宋"/>
          <w:sz w:val="32"/>
          <w:szCs w:val="32"/>
        </w:rPr>
        <w:t>万元。与202</w:t>
      </w:r>
      <w:r>
        <w:rPr>
          <w:rFonts w:hint="eastAsia" w:ascii="仿宋" w:hAnsi="仿宋" w:eastAsia="仿宋" w:cs="仿宋"/>
          <w:sz w:val="32"/>
          <w:szCs w:val="32"/>
          <w:lang w:val="en-US" w:eastAsia="zh-CN"/>
        </w:rPr>
        <w:t>3</w:t>
      </w:r>
      <w:r>
        <w:rPr>
          <w:rFonts w:hint="eastAsia" w:ascii="仿宋" w:hAnsi="仿宋" w:eastAsia="仿宋" w:cs="仿宋"/>
          <w:sz w:val="32"/>
          <w:szCs w:val="32"/>
        </w:rPr>
        <w:t>年相比，财政拨款收、支总计各</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63.88</w:t>
      </w:r>
      <w:r>
        <w:rPr>
          <w:rFonts w:hint="eastAsia" w:ascii="仿宋" w:hAnsi="仿宋" w:eastAsia="仿宋" w:cs="仿宋"/>
          <w:sz w:val="32"/>
          <w:szCs w:val="32"/>
        </w:rPr>
        <w:t>万元，</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12.1</w:t>
      </w:r>
      <w:r>
        <w:rPr>
          <w:rFonts w:hint="eastAsia" w:ascii="仿宋" w:hAnsi="仿宋" w:eastAsia="仿宋" w:cs="仿宋"/>
          <w:sz w:val="32"/>
          <w:szCs w:val="32"/>
        </w:rPr>
        <w:t>%。</w:t>
      </w:r>
      <w:r>
        <w:rPr>
          <w:rFonts w:hint="eastAsia" w:ascii="华文仿宋" w:hAnsi="华文仿宋" w:eastAsia="华文仿宋"/>
          <w:sz w:val="32"/>
          <w:szCs w:val="32"/>
        </w:rPr>
        <w:t>主要变动原因是</w:t>
      </w:r>
      <w:r>
        <w:rPr>
          <w:rFonts w:hint="eastAsia" w:ascii="华文仿宋" w:hAnsi="华文仿宋" w:eastAsia="华文仿宋"/>
          <w:sz w:val="32"/>
          <w:szCs w:val="32"/>
          <w:lang w:eastAsia="zh-CN"/>
        </w:rPr>
        <w:t>辞职人员</w:t>
      </w:r>
      <w:r>
        <w:rPr>
          <w:rFonts w:hint="eastAsia" w:ascii="华文仿宋" w:hAnsi="华文仿宋" w:eastAsia="华文仿宋"/>
          <w:sz w:val="32"/>
          <w:szCs w:val="32"/>
          <w:lang w:val="en-US" w:eastAsia="zh-CN"/>
        </w:rPr>
        <w:t>1名，人员</w:t>
      </w:r>
      <w:r>
        <w:rPr>
          <w:rFonts w:hint="eastAsia" w:ascii="华文仿宋" w:hAnsi="华文仿宋" w:eastAsia="华文仿宋"/>
          <w:sz w:val="32"/>
          <w:szCs w:val="32"/>
          <w:lang w:eastAsia="zh-CN"/>
        </w:rPr>
        <w:t>经费、公用经费减少</w:t>
      </w:r>
      <w:r>
        <w:rPr>
          <w:rFonts w:hint="eastAsia" w:ascii="华文仿宋" w:hAnsi="华文仿宋" w:eastAsia="华文仿宋"/>
          <w:color w:val="000000"/>
          <w:sz w:val="32"/>
          <w:szCs w:val="32"/>
          <w:lang w:eastAsia="zh-CN"/>
        </w:rPr>
        <w:t>及免费开放项目经费减少</w:t>
      </w:r>
      <w:r>
        <w:rPr>
          <w:rFonts w:hint="eastAsia" w:ascii="华文仿宋" w:hAnsi="华文仿宋" w:eastAsia="华文仿宋"/>
          <w:color w:val="000000"/>
          <w:sz w:val="32"/>
          <w:szCs w:val="32"/>
        </w:rPr>
        <w:t>。</w:t>
      </w:r>
    </w:p>
    <w:p>
      <w:pPr>
        <w:pStyle w:val="5"/>
        <w:spacing w:before="93"/>
        <w:jc w:val="center"/>
        <w:rPr>
          <w:rFonts w:ascii="华文仿宋" w:hAnsi="华文仿宋" w:eastAsia="华文仿宋"/>
          <w:b/>
          <w:sz w:val="32"/>
          <w:szCs w:val="32"/>
        </w:rPr>
      </w:pPr>
      <w:r>
        <w:rPr>
          <w:rFonts w:hint="eastAsia" w:ascii="华文仿宋" w:hAnsi="华文仿宋" w:eastAsia="华文仿宋"/>
        </w:rPr>
        <w:drawing>
          <wp:anchor distT="0" distB="0" distL="114300" distR="114300" simplePos="0" relativeHeight="251662336" behindDoc="0" locked="0" layoutInCell="1" allowOverlap="1">
            <wp:simplePos x="0" y="0"/>
            <wp:positionH relativeFrom="column">
              <wp:posOffset>347345</wp:posOffset>
            </wp:positionH>
            <wp:positionV relativeFrom="paragraph">
              <wp:posOffset>227330</wp:posOffset>
            </wp:positionV>
            <wp:extent cx="4552950" cy="2658745"/>
            <wp:effectExtent l="4445" t="4445" r="14605" b="22860"/>
            <wp:wrapTopAndBottom/>
            <wp:docPr id="13" name="图表 13" descr="7b0a202020202263686172745265734964223a2022343632353834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楷体" w:hAnsi="楷体" w:eastAsia="楷体" w:cs="楷体"/>
          <w:sz w:val="28"/>
          <w:szCs w:val="28"/>
        </w:rPr>
        <w:t>（图4：财政拨款收、支决算总计变动情况）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Style w:val="17"/>
          <w:rFonts w:ascii="黑体" w:hAnsi="黑体" w:eastAsia="黑体" w:cs="黑体"/>
          <w:b w:val="0"/>
        </w:rPr>
      </w:pPr>
      <w:bookmarkStart w:id="41" w:name="_Toc30965"/>
      <w:bookmarkStart w:id="42" w:name="_Toc15396607"/>
      <w:bookmarkStart w:id="43" w:name="_Toc15377209"/>
      <w:r>
        <w:rPr>
          <w:rFonts w:hint="eastAsia" w:ascii="黑体" w:hAnsi="黑体" w:eastAsia="黑体" w:cs="黑体"/>
          <w:sz w:val="32"/>
          <w:szCs w:val="32"/>
        </w:rPr>
        <w:t>五、</w:t>
      </w:r>
      <w:r>
        <w:rPr>
          <w:rFonts w:hint="eastAsia" w:ascii="黑体" w:hAnsi="黑体" w:eastAsia="黑体" w:cs="黑体"/>
          <w:b/>
          <w:sz w:val="32"/>
          <w:szCs w:val="32"/>
        </w:rPr>
        <w:t>一</w:t>
      </w:r>
      <w:r>
        <w:rPr>
          <w:rStyle w:val="17"/>
          <w:rFonts w:hint="eastAsia" w:ascii="黑体" w:hAnsi="黑体" w:eastAsia="黑体" w:cs="黑体"/>
          <w:b w:val="0"/>
        </w:rPr>
        <w:t>般公共预算财政拨款支出决算情况说明</w:t>
      </w:r>
      <w:bookmarkEnd w:id="41"/>
      <w:bookmarkEnd w:id="42"/>
      <w:bookmarkEnd w:id="4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2"/>
        <w:rPr>
          <w:rFonts w:ascii="楷体" w:hAnsi="楷体" w:eastAsia="楷体" w:cs="楷体"/>
          <w:bCs/>
          <w:sz w:val="32"/>
          <w:szCs w:val="32"/>
        </w:rPr>
      </w:pPr>
      <w:bookmarkStart w:id="44" w:name="_Toc15377210"/>
      <w:bookmarkStart w:id="45" w:name="_Toc28504"/>
      <w:r>
        <w:rPr>
          <w:rFonts w:hint="eastAsia" w:ascii="楷体" w:hAnsi="楷体" w:eastAsia="楷体" w:cs="楷体"/>
          <w:bCs/>
          <w:sz w:val="32"/>
          <w:szCs w:val="32"/>
        </w:rPr>
        <w:t>（一）一般公共预算财政拨款支出决算总体情况</w:t>
      </w:r>
      <w:bookmarkEnd w:id="44"/>
      <w:bookmarkEnd w:id="4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年一般公共预算财政拨款支出</w:t>
      </w:r>
      <w:r>
        <w:rPr>
          <w:rFonts w:hint="eastAsia" w:ascii="仿宋" w:hAnsi="仿宋" w:eastAsia="仿宋" w:cs="仿宋"/>
          <w:sz w:val="32"/>
          <w:szCs w:val="32"/>
          <w:lang w:val="en-US" w:eastAsia="zh-CN"/>
        </w:rPr>
        <w:t>463.68</w:t>
      </w:r>
      <w:r>
        <w:rPr>
          <w:rFonts w:hint="eastAsia" w:ascii="仿宋" w:hAnsi="仿宋" w:eastAsia="仿宋" w:cs="仿宋"/>
          <w:sz w:val="32"/>
          <w:szCs w:val="32"/>
        </w:rPr>
        <w:t>万元，占本年支出合计的</w:t>
      </w:r>
      <w:r>
        <w:rPr>
          <w:rFonts w:hint="eastAsia" w:ascii="仿宋" w:hAnsi="仿宋" w:eastAsia="仿宋" w:cs="仿宋"/>
          <w:sz w:val="32"/>
          <w:szCs w:val="32"/>
          <w:lang w:val="en-US" w:eastAsia="zh-CN"/>
        </w:rPr>
        <w:t>99.72</w:t>
      </w:r>
      <w:r>
        <w:rPr>
          <w:rFonts w:hint="eastAsia" w:ascii="仿宋" w:hAnsi="仿宋" w:eastAsia="仿宋" w:cs="仿宋"/>
          <w:sz w:val="32"/>
          <w:szCs w:val="32"/>
        </w:rPr>
        <w:t>%。与202</w:t>
      </w:r>
      <w:r>
        <w:rPr>
          <w:rFonts w:hint="eastAsia" w:ascii="仿宋" w:hAnsi="仿宋" w:eastAsia="仿宋" w:cs="仿宋"/>
          <w:sz w:val="32"/>
          <w:szCs w:val="32"/>
          <w:lang w:val="en-US" w:eastAsia="zh-CN"/>
        </w:rPr>
        <w:t>3</w:t>
      </w:r>
      <w:r>
        <w:rPr>
          <w:rFonts w:hint="eastAsia" w:ascii="仿宋" w:hAnsi="仿宋" w:eastAsia="仿宋" w:cs="仿宋"/>
          <w:sz w:val="32"/>
          <w:szCs w:val="32"/>
        </w:rPr>
        <w:t>年相比，一般公共预算财政拨款支出</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63.55</w:t>
      </w:r>
      <w:r>
        <w:rPr>
          <w:rFonts w:hint="eastAsia" w:ascii="仿宋" w:hAnsi="仿宋" w:eastAsia="仿宋" w:cs="仿宋"/>
          <w:sz w:val="32"/>
          <w:szCs w:val="32"/>
        </w:rPr>
        <w:t>万元，</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12.05</w:t>
      </w:r>
      <w:r>
        <w:rPr>
          <w:rFonts w:hint="eastAsia" w:ascii="仿宋" w:hAnsi="仿宋" w:eastAsia="仿宋" w:cs="仿宋"/>
          <w:sz w:val="32"/>
          <w:szCs w:val="32"/>
        </w:rPr>
        <w:t>%。主要变动原因是</w:t>
      </w:r>
      <w:r>
        <w:rPr>
          <w:rFonts w:hint="eastAsia" w:ascii="仿宋" w:hAnsi="仿宋" w:eastAsia="仿宋" w:cs="仿宋"/>
          <w:sz w:val="32"/>
          <w:szCs w:val="32"/>
          <w:lang w:eastAsia="zh-CN"/>
        </w:rPr>
        <w:t>辞职人员</w:t>
      </w:r>
      <w:r>
        <w:rPr>
          <w:rFonts w:hint="eastAsia" w:ascii="仿宋" w:hAnsi="仿宋" w:eastAsia="仿宋" w:cs="仿宋"/>
          <w:sz w:val="32"/>
          <w:szCs w:val="32"/>
          <w:lang w:val="en-US" w:eastAsia="zh-CN"/>
        </w:rPr>
        <w:t>1名，人员</w:t>
      </w:r>
      <w:r>
        <w:rPr>
          <w:rFonts w:hint="eastAsia" w:ascii="仿宋" w:hAnsi="仿宋" w:eastAsia="仿宋" w:cs="仿宋"/>
          <w:sz w:val="32"/>
          <w:szCs w:val="32"/>
          <w:lang w:eastAsia="zh-CN"/>
        </w:rPr>
        <w:t>经费、公用经费减少</w:t>
      </w:r>
      <w:r>
        <w:rPr>
          <w:rFonts w:hint="eastAsia" w:ascii="仿宋" w:hAnsi="仿宋" w:eastAsia="仿宋" w:cs="仿宋"/>
          <w:color w:val="000000"/>
          <w:sz w:val="32"/>
          <w:szCs w:val="32"/>
          <w:lang w:eastAsia="zh-CN"/>
        </w:rPr>
        <w:t>及免费开放项目经费减少</w:t>
      </w:r>
      <w:r>
        <w:rPr>
          <w:rFonts w:hint="eastAsia" w:ascii="仿宋" w:hAnsi="仿宋" w:eastAsia="仿宋" w:cs="仿宋"/>
          <w:color w:val="000000"/>
          <w:sz w:val="32"/>
          <w:szCs w:val="32"/>
        </w:rPr>
        <w:t>。</w:t>
      </w:r>
    </w:p>
    <w:p>
      <w:pPr>
        <w:pStyle w:val="5"/>
        <w:keepNext w:val="0"/>
        <w:keepLines w:val="0"/>
        <w:pageBreakBefore w:val="0"/>
        <w:widowControl w:val="0"/>
        <w:kinsoku/>
        <w:wordWrap/>
        <w:overflowPunct/>
        <w:topLinePunct w:val="0"/>
        <w:autoSpaceDE/>
        <w:autoSpaceDN/>
        <w:bidi w:val="0"/>
        <w:adjustRightInd/>
        <w:snapToGrid/>
        <w:spacing w:beforeLines="0"/>
        <w:textAlignment w:val="auto"/>
        <w:rPr>
          <w:rFonts w:ascii="华文仿宋" w:hAnsi="华文仿宋" w:eastAsia="华文仿宋"/>
        </w:rPr>
      </w:pPr>
      <w:r>
        <w:rPr>
          <w:rFonts w:hint="eastAsia" w:ascii="华文仿宋" w:hAnsi="华文仿宋" w:eastAsia="华文仿宋"/>
          <w:lang w:val="en-US" w:eastAsia="zh-CN"/>
        </w:rPr>
        <w:t xml:space="preserve">    </w:t>
      </w:r>
      <w:r>
        <w:rPr>
          <w:rFonts w:hint="eastAsia" w:ascii="华文仿宋" w:hAnsi="华文仿宋" w:eastAsia="华文仿宋"/>
        </w:rPr>
        <w:drawing>
          <wp:inline distT="0" distB="0" distL="114300" distR="114300">
            <wp:extent cx="4563110" cy="2695575"/>
            <wp:effectExtent l="4445" t="4445" r="23495" b="5080"/>
            <wp:docPr id="14" name="图表 14" descr="7b0a202020202263686172745265734964223a2022343632353834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jc w:val="center"/>
        <w:rPr>
          <w:rFonts w:ascii="华文仿宋" w:hAnsi="华文仿宋" w:eastAsia="华文仿宋"/>
          <w:color w:val="FF0000"/>
          <w:sz w:val="32"/>
          <w:szCs w:val="32"/>
        </w:rPr>
      </w:pPr>
      <w:r>
        <w:rPr>
          <w:rFonts w:hint="eastAsia" w:ascii="楷体" w:hAnsi="楷体" w:eastAsia="楷体" w:cs="楷体"/>
          <w:sz w:val="28"/>
          <w:szCs w:val="28"/>
        </w:rPr>
        <w:t>（图5：一般公共预算财政拨款支出决算变动情况）</w:t>
      </w:r>
    </w:p>
    <w:p>
      <w:pPr>
        <w:numPr>
          <w:ilvl w:val="0"/>
          <w:numId w:val="2"/>
        </w:numPr>
        <w:spacing w:line="576" w:lineRule="exact"/>
        <w:ind w:firstLine="640" w:firstLineChars="200"/>
        <w:outlineLvl w:val="2"/>
        <w:rPr>
          <w:rFonts w:hint="eastAsia" w:ascii="楷体" w:hAnsi="楷体" w:eastAsia="楷体" w:cs="楷体"/>
          <w:bCs/>
          <w:sz w:val="32"/>
          <w:szCs w:val="32"/>
        </w:rPr>
      </w:pPr>
      <w:bookmarkStart w:id="46" w:name="_Toc3994"/>
      <w:bookmarkStart w:id="47" w:name="_Toc15377211"/>
      <w:r>
        <w:rPr>
          <w:rFonts w:hint="eastAsia" w:ascii="楷体" w:hAnsi="楷体" w:eastAsia="楷体" w:cs="楷体"/>
          <w:bCs/>
          <w:sz w:val="32"/>
          <w:szCs w:val="32"/>
        </w:rPr>
        <w:t>一般公共预算财政拨款支出决算结构情况</w:t>
      </w:r>
      <w:bookmarkEnd w:id="46"/>
      <w:bookmarkEnd w:id="47"/>
    </w:p>
    <w:p>
      <w:pPr>
        <w:numPr>
          <w:ilvl w:val="0"/>
          <w:numId w:val="0"/>
        </w:numPr>
        <w:spacing w:line="576" w:lineRule="exact"/>
        <w:ind w:firstLine="640" w:firstLineChars="200"/>
        <w:jc w:val="both"/>
        <w:outlineLvl w:val="2"/>
        <w:rPr>
          <w:rFonts w:hint="eastAsia" w:ascii="楷体" w:hAnsi="楷体" w:eastAsia="楷体" w:cs="楷体"/>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年一般公共预算财政拨款支出</w:t>
      </w:r>
      <w:r>
        <w:rPr>
          <w:rFonts w:hint="eastAsia" w:ascii="仿宋" w:hAnsi="仿宋" w:eastAsia="仿宋" w:cs="仿宋"/>
          <w:sz w:val="32"/>
          <w:szCs w:val="32"/>
          <w:lang w:val="en-US" w:eastAsia="zh-CN"/>
        </w:rPr>
        <w:t>463.68</w:t>
      </w:r>
      <w:r>
        <w:rPr>
          <w:rFonts w:hint="eastAsia" w:ascii="仿宋" w:hAnsi="仿宋" w:eastAsia="仿宋" w:cs="仿宋"/>
          <w:sz w:val="32"/>
          <w:szCs w:val="32"/>
        </w:rPr>
        <w:t>万元，主要用于以下方面</w:t>
      </w:r>
      <w:r>
        <w:rPr>
          <w:rFonts w:hint="eastAsia" w:ascii="仿宋" w:hAnsi="仿宋" w:eastAsia="仿宋" w:cs="仿宋"/>
          <w:sz w:val="32"/>
          <w:szCs w:val="32"/>
          <w:lang w:eastAsia="zh-CN"/>
        </w:rPr>
        <w:t>：</w:t>
      </w:r>
      <w:r>
        <w:rPr>
          <w:rFonts w:hint="eastAsia" w:ascii="仿宋" w:hAnsi="仿宋" w:eastAsia="仿宋" w:cs="仿宋"/>
          <w:sz w:val="32"/>
          <w:szCs w:val="32"/>
        </w:rPr>
        <w:t>文化旅游体育与传媒支出</w:t>
      </w:r>
      <w:r>
        <w:rPr>
          <w:rFonts w:hint="eastAsia" w:ascii="仿宋" w:hAnsi="仿宋" w:eastAsia="仿宋" w:cs="仿宋"/>
          <w:sz w:val="32"/>
          <w:szCs w:val="32"/>
          <w:lang w:val="en-US" w:eastAsia="zh-CN"/>
        </w:rPr>
        <w:t>415.92</w:t>
      </w:r>
      <w:r>
        <w:rPr>
          <w:rFonts w:hint="eastAsia" w:ascii="仿宋" w:hAnsi="仿宋" w:eastAsia="仿宋" w:cs="仿宋"/>
          <w:sz w:val="32"/>
          <w:szCs w:val="32"/>
        </w:rPr>
        <w:t>万元，占</w:t>
      </w:r>
      <w:r>
        <w:rPr>
          <w:rFonts w:hint="eastAsia" w:ascii="仿宋" w:hAnsi="仿宋" w:eastAsia="仿宋" w:cs="仿宋"/>
          <w:sz w:val="32"/>
          <w:szCs w:val="32"/>
          <w:lang w:val="en-US" w:eastAsia="zh-CN"/>
        </w:rPr>
        <w:t>89.70</w:t>
      </w:r>
      <w:r>
        <w:rPr>
          <w:rFonts w:hint="eastAsia" w:ascii="仿宋" w:hAnsi="仿宋" w:eastAsia="仿宋" w:cs="仿宋"/>
          <w:sz w:val="32"/>
          <w:szCs w:val="32"/>
        </w:rPr>
        <w:t>%；社会保障和就业支出</w:t>
      </w:r>
      <w:r>
        <w:rPr>
          <w:rFonts w:hint="eastAsia" w:ascii="仿宋" w:hAnsi="仿宋" w:eastAsia="仿宋" w:cs="仿宋"/>
          <w:sz w:val="32"/>
          <w:szCs w:val="32"/>
          <w:lang w:val="en-US" w:eastAsia="zh-CN"/>
        </w:rPr>
        <w:t>25.15</w:t>
      </w:r>
      <w:r>
        <w:rPr>
          <w:rFonts w:hint="eastAsia" w:ascii="仿宋" w:hAnsi="仿宋" w:eastAsia="仿宋" w:cs="仿宋"/>
          <w:sz w:val="32"/>
          <w:szCs w:val="32"/>
        </w:rPr>
        <w:t>万元，占</w:t>
      </w:r>
      <w:r>
        <w:rPr>
          <w:rFonts w:hint="eastAsia" w:ascii="仿宋" w:hAnsi="仿宋" w:eastAsia="仿宋" w:cs="仿宋"/>
          <w:sz w:val="32"/>
          <w:szCs w:val="32"/>
          <w:lang w:val="en-US" w:eastAsia="zh-CN"/>
        </w:rPr>
        <w:t>5.42</w:t>
      </w:r>
      <w:r>
        <w:rPr>
          <w:rFonts w:hint="eastAsia" w:ascii="仿宋" w:hAnsi="仿宋" w:eastAsia="仿宋" w:cs="仿宋"/>
          <w:sz w:val="32"/>
          <w:szCs w:val="32"/>
        </w:rPr>
        <w:t>%；卫生健康支出</w:t>
      </w:r>
      <w:r>
        <w:rPr>
          <w:rFonts w:hint="eastAsia" w:ascii="仿宋" w:hAnsi="仿宋" w:eastAsia="仿宋" w:cs="仿宋"/>
          <w:sz w:val="32"/>
          <w:szCs w:val="32"/>
          <w:lang w:val="en-US" w:eastAsia="zh-CN"/>
        </w:rPr>
        <w:t>6.22</w:t>
      </w:r>
      <w:r>
        <w:rPr>
          <w:rFonts w:hint="eastAsia" w:ascii="仿宋" w:hAnsi="仿宋" w:eastAsia="仿宋" w:cs="仿宋"/>
          <w:sz w:val="32"/>
          <w:szCs w:val="32"/>
        </w:rPr>
        <w:t>万元，占</w:t>
      </w:r>
      <w:r>
        <w:rPr>
          <w:rFonts w:hint="eastAsia" w:ascii="仿宋" w:hAnsi="仿宋" w:eastAsia="仿宋" w:cs="仿宋"/>
          <w:sz w:val="32"/>
          <w:szCs w:val="32"/>
          <w:lang w:val="en-US" w:eastAsia="zh-CN"/>
        </w:rPr>
        <w:t>1.34</w:t>
      </w:r>
      <w:r>
        <w:rPr>
          <w:rFonts w:hint="eastAsia" w:ascii="仿宋" w:hAnsi="仿宋" w:eastAsia="仿宋" w:cs="仿宋"/>
          <w:sz w:val="32"/>
          <w:szCs w:val="32"/>
        </w:rPr>
        <w:t>%；住房保障支出</w:t>
      </w:r>
      <w:r>
        <w:rPr>
          <w:rFonts w:hint="eastAsia" w:ascii="仿宋" w:hAnsi="仿宋" w:eastAsia="仿宋" w:cs="仿宋"/>
          <w:sz w:val="32"/>
          <w:szCs w:val="32"/>
          <w:lang w:val="en-US" w:eastAsia="zh-CN"/>
        </w:rPr>
        <w:t>16.39</w:t>
      </w:r>
      <w:r>
        <w:rPr>
          <w:rFonts w:hint="eastAsia" w:ascii="仿宋" w:hAnsi="仿宋" w:eastAsia="仿宋" w:cs="仿宋"/>
          <w:sz w:val="32"/>
          <w:szCs w:val="32"/>
        </w:rPr>
        <w:t>万元，占3.</w:t>
      </w:r>
      <w:r>
        <w:rPr>
          <w:rFonts w:hint="eastAsia" w:ascii="仿宋" w:hAnsi="仿宋" w:eastAsia="仿宋" w:cs="仿宋"/>
          <w:sz w:val="32"/>
          <w:szCs w:val="32"/>
          <w:lang w:val="en-US" w:eastAsia="zh-CN"/>
        </w:rPr>
        <w:t>54</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华文仿宋" w:hAnsi="华文仿宋" w:eastAsia="华文仿宋"/>
          <w:sz w:val="32"/>
          <w:szCs w:val="32"/>
        </w:rPr>
      </w:pPr>
      <w:r>
        <w:rPr>
          <w:rFonts w:hint="eastAsia" w:ascii="楷体" w:hAnsi="楷体" w:eastAsia="楷体" w:cs="楷体"/>
          <w:sz w:val="32"/>
          <w:szCs w:val="32"/>
        </w:rPr>
        <w:drawing>
          <wp:anchor distT="0" distB="0" distL="114300" distR="114300" simplePos="0" relativeHeight="251663360" behindDoc="0" locked="0" layoutInCell="1" allowOverlap="1">
            <wp:simplePos x="0" y="0"/>
            <wp:positionH relativeFrom="column">
              <wp:posOffset>375920</wp:posOffset>
            </wp:positionH>
            <wp:positionV relativeFrom="paragraph">
              <wp:posOffset>287020</wp:posOffset>
            </wp:positionV>
            <wp:extent cx="4589780" cy="2435860"/>
            <wp:effectExtent l="5080" t="4445" r="15240" b="17145"/>
            <wp:wrapTopAndBottom/>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楷体" w:hAnsi="楷体" w:eastAsia="楷体" w:cs="楷体"/>
          <w:sz w:val="28"/>
          <w:szCs w:val="28"/>
        </w:rPr>
        <w:t>（图6：一般公共预算财政拨款支出决算结构）</w:t>
      </w:r>
    </w:p>
    <w:p>
      <w:pPr>
        <w:spacing w:line="576" w:lineRule="exact"/>
        <w:ind w:firstLine="640" w:firstLineChars="200"/>
        <w:outlineLvl w:val="2"/>
        <w:rPr>
          <w:rFonts w:ascii="楷体" w:hAnsi="楷体" w:eastAsia="楷体" w:cs="楷体"/>
          <w:bCs/>
          <w:sz w:val="32"/>
          <w:szCs w:val="32"/>
        </w:rPr>
      </w:pPr>
      <w:bookmarkStart w:id="48" w:name="_Toc15377212"/>
      <w:bookmarkStart w:id="49" w:name="_Toc8233"/>
      <w:r>
        <w:rPr>
          <w:rFonts w:hint="eastAsia" w:ascii="楷体" w:hAnsi="楷体" w:eastAsia="楷体" w:cs="楷体"/>
          <w:bCs/>
          <w:sz w:val="32"/>
          <w:szCs w:val="32"/>
        </w:rPr>
        <w:t>（三）一般公共预算财政拨款支出决算具体情况</w:t>
      </w:r>
      <w:bookmarkEnd w:id="48"/>
      <w:bookmarkEnd w:id="49"/>
    </w:p>
    <w:p>
      <w:pPr>
        <w:spacing w:line="576" w:lineRule="exact"/>
        <w:ind w:firstLine="640" w:firstLineChars="200"/>
        <w:outlineLvl w:val="1"/>
        <w:rPr>
          <w:rStyle w:val="14"/>
          <w:rFonts w:ascii="仿宋" w:hAnsi="仿宋" w:eastAsia="仿宋" w:cs="仿宋"/>
          <w:b w:val="0"/>
          <w:bCs/>
          <w:sz w:val="32"/>
          <w:szCs w:val="32"/>
        </w:rPr>
      </w:pPr>
      <w:bookmarkStart w:id="50" w:name="_Toc15378460"/>
      <w:bookmarkStart w:id="51" w:name="_Toc15377444"/>
      <w:bookmarkStart w:id="52" w:name="_Toc30462"/>
      <w:bookmarkStart w:id="53" w:name="_Toc15377213"/>
      <w:bookmarkStart w:id="54" w:name="_Toc8557"/>
      <w:r>
        <w:rPr>
          <w:rFonts w:hint="eastAsia" w:ascii="仿宋" w:hAnsi="仿宋" w:eastAsia="仿宋" w:cs="仿宋"/>
          <w:bCs/>
          <w:sz w:val="32"/>
          <w:szCs w:val="32"/>
        </w:rPr>
        <w:t>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年一般公共预算支出决算数为</w:t>
      </w:r>
      <w:r>
        <w:rPr>
          <w:rFonts w:hint="eastAsia" w:ascii="仿宋" w:hAnsi="仿宋" w:eastAsia="仿宋" w:cs="仿宋"/>
          <w:bCs/>
          <w:sz w:val="32"/>
          <w:szCs w:val="32"/>
          <w:lang w:val="en-US" w:eastAsia="zh-CN"/>
        </w:rPr>
        <w:t>463.68</w:t>
      </w:r>
      <w:r>
        <w:rPr>
          <w:rFonts w:hint="eastAsia" w:ascii="仿宋" w:hAnsi="仿宋" w:eastAsia="仿宋" w:cs="仿宋"/>
          <w:bCs/>
          <w:sz w:val="32"/>
          <w:szCs w:val="32"/>
        </w:rPr>
        <w:t>万元，</w:t>
      </w:r>
      <w:r>
        <w:rPr>
          <w:rStyle w:val="14"/>
          <w:rFonts w:hint="eastAsia" w:ascii="仿宋" w:hAnsi="仿宋" w:eastAsia="仿宋" w:cs="仿宋"/>
          <w:b w:val="0"/>
          <w:bCs/>
          <w:sz w:val="32"/>
          <w:szCs w:val="32"/>
        </w:rPr>
        <w:t>完成预算99.9</w:t>
      </w:r>
      <w:r>
        <w:rPr>
          <w:rStyle w:val="14"/>
          <w:rFonts w:hint="eastAsia" w:ascii="仿宋" w:hAnsi="仿宋" w:eastAsia="仿宋" w:cs="仿宋"/>
          <w:b w:val="0"/>
          <w:bCs/>
          <w:sz w:val="32"/>
          <w:szCs w:val="32"/>
          <w:lang w:val="en-US" w:eastAsia="zh-CN"/>
        </w:rPr>
        <w:t>8</w:t>
      </w:r>
      <w:r>
        <w:rPr>
          <w:rStyle w:val="14"/>
          <w:rFonts w:hint="eastAsia" w:ascii="仿宋" w:hAnsi="仿宋" w:eastAsia="仿宋" w:cs="仿宋"/>
          <w:b w:val="0"/>
          <w:bCs/>
          <w:sz w:val="32"/>
          <w:szCs w:val="32"/>
        </w:rPr>
        <w:t>%。其中：</w:t>
      </w:r>
      <w:bookmarkEnd w:id="50"/>
      <w:bookmarkEnd w:id="51"/>
      <w:bookmarkEnd w:id="52"/>
      <w:bookmarkEnd w:id="53"/>
      <w:bookmarkEnd w:id="54"/>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文化旅游体育与传媒支出（类）文物（款）博物馆（项）</w:t>
      </w:r>
      <w:r>
        <w:rPr>
          <w:rFonts w:hint="eastAsia" w:ascii="仿宋" w:hAnsi="仿宋" w:eastAsia="仿宋" w:cs="仿宋"/>
          <w:sz w:val="32"/>
          <w:szCs w:val="32"/>
          <w:lang w:eastAsia="zh-CN"/>
        </w:rPr>
        <w:t>：</w:t>
      </w:r>
      <w:r>
        <w:rPr>
          <w:rFonts w:hint="eastAsia" w:ascii="仿宋" w:hAnsi="仿宋" w:eastAsia="仿宋" w:cs="仿宋"/>
          <w:sz w:val="32"/>
          <w:szCs w:val="32"/>
        </w:rPr>
        <w:t xml:space="preserve"> 支出决算为</w:t>
      </w:r>
      <w:r>
        <w:rPr>
          <w:rFonts w:hint="eastAsia" w:ascii="仿宋" w:hAnsi="仿宋" w:eastAsia="仿宋" w:cs="仿宋"/>
          <w:sz w:val="32"/>
          <w:szCs w:val="32"/>
          <w:lang w:val="en-US" w:eastAsia="zh-CN"/>
        </w:rPr>
        <w:t>415.92</w:t>
      </w:r>
      <w:r>
        <w:rPr>
          <w:rFonts w:hint="eastAsia" w:ascii="仿宋" w:hAnsi="仿宋" w:eastAsia="仿宋" w:cs="仿宋"/>
          <w:sz w:val="32"/>
          <w:szCs w:val="32"/>
        </w:rPr>
        <w:t>万元，完成预算</w:t>
      </w:r>
      <w:r>
        <w:rPr>
          <w:rFonts w:hint="eastAsia" w:ascii="仿宋" w:hAnsi="仿宋" w:eastAsia="仿宋" w:cs="仿宋"/>
          <w:sz w:val="32"/>
          <w:szCs w:val="32"/>
          <w:lang w:val="en-US" w:eastAsia="zh-CN"/>
        </w:rPr>
        <w:t>100</w:t>
      </w:r>
      <w:r>
        <w:rPr>
          <w:rFonts w:hint="eastAsia" w:ascii="仿宋" w:hAnsi="仿宋" w:eastAsia="仿宋" w:cs="仿宋"/>
          <w:sz w:val="32"/>
          <w:szCs w:val="32"/>
        </w:rPr>
        <w:t>%，决算数与预算数持平。</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社会保障和就业支出（类）行政事业单位养老支出（款）事业单位离退休（项）决算为</w:t>
      </w:r>
      <w:r>
        <w:rPr>
          <w:rFonts w:hint="eastAsia" w:ascii="仿宋" w:hAnsi="仿宋" w:eastAsia="仿宋" w:cs="仿宋"/>
          <w:sz w:val="32"/>
          <w:szCs w:val="32"/>
          <w:lang w:val="en-US" w:eastAsia="zh-CN"/>
        </w:rPr>
        <w:t>5.04</w:t>
      </w:r>
      <w:r>
        <w:rPr>
          <w:rFonts w:hint="eastAsia" w:ascii="仿宋" w:hAnsi="仿宋" w:eastAsia="仿宋" w:cs="仿宋"/>
          <w:sz w:val="32"/>
          <w:szCs w:val="32"/>
        </w:rPr>
        <w:t>万元，完成预算100%。决算数与预算数持平。</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社会保障和就业支出（类）行政事业单位养老支出（款）机关事业单位基本养老保险缴费支出（项）决算为</w:t>
      </w:r>
      <w:r>
        <w:rPr>
          <w:rFonts w:hint="eastAsia" w:ascii="仿宋" w:hAnsi="仿宋" w:eastAsia="仿宋" w:cs="仿宋"/>
          <w:sz w:val="32"/>
          <w:szCs w:val="32"/>
          <w:lang w:val="en-US" w:eastAsia="zh-CN"/>
        </w:rPr>
        <w:t>18.42</w:t>
      </w:r>
      <w:r>
        <w:rPr>
          <w:rFonts w:hint="eastAsia" w:ascii="仿宋" w:hAnsi="仿宋" w:eastAsia="仿宋" w:cs="仿宋"/>
          <w:sz w:val="32"/>
          <w:szCs w:val="32"/>
        </w:rPr>
        <w:t>万元，完成预算100%。决算数与预算数持平。</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社会保障和就业支出（类）行政事业单位养老支出（款）机关事业单位职业年金缴费支出（项）决算为</w:t>
      </w:r>
      <w:r>
        <w:rPr>
          <w:rFonts w:hint="eastAsia" w:ascii="仿宋" w:hAnsi="仿宋" w:eastAsia="仿宋" w:cs="仿宋"/>
          <w:sz w:val="32"/>
          <w:szCs w:val="32"/>
          <w:lang w:val="en-US" w:eastAsia="zh-CN"/>
        </w:rPr>
        <w:t>1.03</w:t>
      </w:r>
      <w:r>
        <w:rPr>
          <w:rFonts w:hint="eastAsia" w:ascii="仿宋" w:hAnsi="仿宋" w:eastAsia="仿宋" w:cs="仿宋"/>
          <w:sz w:val="32"/>
          <w:szCs w:val="32"/>
        </w:rPr>
        <w:t>万元，完成预算100%。决算数与预算数持平。</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社会保障和就业支出（类）其他社会保障和就业支出（款）其他社会保障和就业支出（项）决算为</w:t>
      </w:r>
      <w:r>
        <w:rPr>
          <w:rFonts w:hint="eastAsia" w:ascii="仿宋" w:hAnsi="仿宋" w:eastAsia="仿宋" w:cs="仿宋"/>
          <w:sz w:val="32"/>
          <w:szCs w:val="32"/>
          <w:lang w:val="en-US" w:eastAsia="zh-CN"/>
        </w:rPr>
        <w:t>0.66</w:t>
      </w:r>
      <w:r>
        <w:rPr>
          <w:rFonts w:hint="eastAsia" w:ascii="仿宋" w:hAnsi="仿宋" w:eastAsia="仿宋" w:cs="仿宋"/>
          <w:sz w:val="32"/>
          <w:szCs w:val="32"/>
        </w:rPr>
        <w:t>万元，完成预算</w:t>
      </w:r>
      <w:r>
        <w:rPr>
          <w:rFonts w:hint="eastAsia" w:ascii="仿宋" w:hAnsi="仿宋" w:eastAsia="仿宋" w:cs="仿宋"/>
          <w:sz w:val="32"/>
          <w:szCs w:val="32"/>
          <w:lang w:val="en-US" w:eastAsia="zh-CN"/>
        </w:rPr>
        <w:t>100%。</w:t>
      </w:r>
      <w:r>
        <w:rPr>
          <w:rFonts w:hint="eastAsia" w:ascii="仿宋" w:hAnsi="仿宋" w:eastAsia="仿宋" w:cs="仿宋"/>
          <w:sz w:val="32"/>
          <w:szCs w:val="32"/>
        </w:rPr>
        <w:t>决算数与预算数持平。</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卫生健康支出（类）行政事业单位医疗（款）事业单位医疗（项）支出决算为</w:t>
      </w:r>
      <w:r>
        <w:rPr>
          <w:rFonts w:hint="eastAsia" w:ascii="仿宋" w:hAnsi="仿宋" w:eastAsia="仿宋" w:cs="仿宋"/>
          <w:sz w:val="32"/>
          <w:szCs w:val="32"/>
          <w:lang w:val="en-US" w:eastAsia="zh-CN"/>
        </w:rPr>
        <w:t>6.22</w:t>
      </w:r>
      <w:r>
        <w:rPr>
          <w:rFonts w:hint="eastAsia" w:ascii="仿宋" w:hAnsi="仿宋" w:eastAsia="仿宋" w:cs="仿宋"/>
          <w:sz w:val="32"/>
          <w:szCs w:val="32"/>
        </w:rPr>
        <w:t>万元，完成预算100%。决算数与预算数持平。</w:t>
      </w:r>
    </w:p>
    <w:p>
      <w:pPr>
        <w:keepNext w:val="0"/>
        <w:keepLines w:val="0"/>
        <w:pageBreakBefore w:val="0"/>
        <w:widowControl w:val="0"/>
        <w:kinsoku/>
        <w:wordWrap/>
        <w:overflowPunct/>
        <w:topLinePunct w:val="0"/>
        <w:autoSpaceDE/>
        <w:autoSpaceDN/>
        <w:bidi w:val="0"/>
        <w:adjustRightInd/>
        <w:snapToGrid/>
        <w:spacing w:beforeLines="0" w:afterLines="0" w:line="576" w:lineRule="exact"/>
        <w:ind w:firstLine="643"/>
        <w:textAlignment w:val="auto"/>
        <w:rPr>
          <w:rFonts w:hint="eastAsia" w:ascii="黑体" w:hAnsi="黑体" w:eastAsia="黑体" w:cs="黑体"/>
          <w:sz w:val="32"/>
          <w:szCs w:val="32"/>
        </w:rPr>
      </w:pP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w:t>
      </w:r>
      <w:r>
        <w:rPr>
          <w:rStyle w:val="30"/>
          <w:rFonts w:hint="eastAsia" w:ascii="仿宋" w:hAnsi="仿宋" w:eastAsia="仿宋" w:cs="仿宋"/>
          <w:b w:val="0"/>
          <w:sz w:val="32"/>
          <w:szCs w:val="32"/>
        </w:rPr>
        <w:t>住房保障支出（类）</w:t>
      </w:r>
      <w:r>
        <w:rPr>
          <w:rFonts w:hint="eastAsia" w:ascii="仿宋" w:hAnsi="仿宋" w:eastAsia="仿宋" w:cs="仿宋"/>
          <w:sz w:val="32"/>
          <w:szCs w:val="32"/>
        </w:rPr>
        <w:t>住房改革支出（款）住房公积金（项）</w:t>
      </w:r>
      <w:r>
        <w:rPr>
          <w:rStyle w:val="30"/>
          <w:rFonts w:hint="eastAsia" w:ascii="仿宋" w:hAnsi="仿宋" w:eastAsia="仿宋" w:cs="仿宋"/>
          <w:b w:val="0"/>
          <w:bCs/>
          <w:color w:val="000000"/>
          <w:sz w:val="32"/>
          <w:szCs w:val="32"/>
        </w:rPr>
        <w:t>支出决算为</w:t>
      </w:r>
      <w:r>
        <w:rPr>
          <w:rStyle w:val="30"/>
          <w:rFonts w:hint="eastAsia" w:ascii="仿宋" w:hAnsi="仿宋" w:eastAsia="仿宋" w:cs="仿宋"/>
          <w:b w:val="0"/>
          <w:bCs/>
          <w:color w:val="000000"/>
          <w:sz w:val="32"/>
          <w:szCs w:val="32"/>
          <w:lang w:val="en-US" w:eastAsia="zh-CN"/>
        </w:rPr>
        <w:t>16.39</w:t>
      </w:r>
      <w:r>
        <w:rPr>
          <w:rStyle w:val="30"/>
          <w:rFonts w:hint="eastAsia" w:ascii="仿宋" w:hAnsi="仿宋" w:eastAsia="仿宋" w:cs="仿宋"/>
          <w:b w:val="0"/>
          <w:bCs/>
          <w:color w:val="000000"/>
          <w:sz w:val="32"/>
          <w:szCs w:val="32"/>
        </w:rPr>
        <w:t>万元，完成预算</w:t>
      </w:r>
      <w:r>
        <w:rPr>
          <w:rStyle w:val="30"/>
          <w:rFonts w:hint="eastAsia" w:ascii="仿宋" w:hAnsi="仿宋" w:eastAsia="仿宋" w:cs="仿宋"/>
          <w:b w:val="0"/>
          <w:bCs/>
          <w:color w:val="000000"/>
          <w:sz w:val="32"/>
          <w:szCs w:val="32"/>
          <w:lang w:val="en-US" w:eastAsia="zh-CN"/>
        </w:rPr>
        <w:t>99.7</w:t>
      </w:r>
      <w:r>
        <w:rPr>
          <w:rStyle w:val="30"/>
          <w:rFonts w:hint="eastAsia" w:ascii="仿宋" w:hAnsi="仿宋" w:eastAsia="仿宋" w:cs="仿宋"/>
          <w:b w:val="0"/>
          <w:bCs/>
          <w:color w:val="000000"/>
          <w:sz w:val="32"/>
          <w:szCs w:val="32"/>
        </w:rPr>
        <w:t>%。</w:t>
      </w:r>
      <w:bookmarkStart w:id="55" w:name="_Toc15377214"/>
      <w:bookmarkStart w:id="56" w:name="_Toc15396608"/>
      <w:r>
        <w:rPr>
          <w:rFonts w:hint="eastAsia" w:ascii="仿宋" w:hAnsi="仿宋" w:eastAsia="仿宋" w:cs="仿宋"/>
          <w:color w:val="000000"/>
          <w:sz w:val="32"/>
          <w:szCs w:val="24"/>
          <w:lang w:val="zh-CN"/>
        </w:rPr>
        <w:t>决算数小于预算数的主要原因是考核奖部分住房公积金尚未支付。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Style w:val="17"/>
          <w:rFonts w:ascii="华文仿宋" w:hAnsi="华文仿宋" w:eastAsia="华文仿宋"/>
        </w:rPr>
      </w:pPr>
      <w:bookmarkStart w:id="57" w:name="_Toc8437"/>
      <w:r>
        <w:rPr>
          <w:rFonts w:hint="eastAsia" w:ascii="黑体" w:hAnsi="黑体" w:eastAsia="黑体" w:cs="黑体"/>
          <w:sz w:val="32"/>
          <w:szCs w:val="32"/>
        </w:rPr>
        <w:t>六</w:t>
      </w:r>
      <w:r>
        <w:rPr>
          <w:rFonts w:hint="eastAsia" w:ascii="黑体" w:hAnsi="黑体" w:eastAsia="黑体" w:cs="黑体"/>
          <w:b/>
          <w:sz w:val="32"/>
          <w:szCs w:val="32"/>
        </w:rPr>
        <w:t>、一</w:t>
      </w:r>
      <w:r>
        <w:rPr>
          <w:rStyle w:val="17"/>
          <w:rFonts w:hint="eastAsia" w:ascii="黑体" w:hAnsi="黑体" w:eastAsia="黑体" w:cs="黑体"/>
          <w:b w:val="0"/>
        </w:rPr>
        <w:t>般公共预算财政拨款基本支出决算情况说明</w:t>
      </w:r>
      <w:bookmarkEnd w:id="55"/>
      <w:bookmarkEnd w:id="56"/>
      <w:bookmarkEnd w:id="57"/>
      <w:r>
        <w:rPr>
          <w:rStyle w:val="17"/>
          <w:rFonts w:ascii="华文仿宋" w:hAnsi="华文仿宋" w:eastAsia="华文仿宋"/>
          <w:b w:val="0"/>
        </w:rPr>
        <w:tab/>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年一般公共预算财政拨款基本支出</w:t>
      </w:r>
      <w:r>
        <w:rPr>
          <w:rFonts w:hint="eastAsia" w:ascii="仿宋" w:hAnsi="仿宋" w:eastAsia="仿宋" w:cs="仿宋"/>
          <w:sz w:val="32"/>
          <w:szCs w:val="32"/>
          <w:lang w:val="en-US" w:eastAsia="zh-CN"/>
        </w:rPr>
        <w:t>209.60</w:t>
      </w:r>
      <w:r>
        <w:rPr>
          <w:rFonts w:hint="eastAsia" w:ascii="仿宋" w:hAnsi="仿宋" w:eastAsia="仿宋" w:cs="仿宋"/>
          <w:sz w:val="32"/>
          <w:szCs w:val="32"/>
        </w:rPr>
        <w:t>万元，其中：</w:t>
      </w:r>
    </w:p>
    <w:p>
      <w:pPr>
        <w:keepNext w:val="0"/>
        <w:keepLines w:val="0"/>
        <w:pageBreakBefore w:val="0"/>
        <w:widowControl w:val="0"/>
        <w:kinsoku/>
        <w:wordWrap/>
        <w:overflowPunct/>
        <w:topLinePunct/>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人员经费</w:t>
      </w:r>
      <w:r>
        <w:rPr>
          <w:rFonts w:hint="eastAsia" w:ascii="仿宋" w:hAnsi="仿宋" w:eastAsia="仿宋" w:cs="仿宋"/>
          <w:sz w:val="32"/>
          <w:szCs w:val="32"/>
          <w:lang w:val="en-US" w:eastAsia="zh-CN"/>
        </w:rPr>
        <w:t>191.31</w:t>
      </w:r>
      <w:r>
        <w:rPr>
          <w:rFonts w:hint="eastAsia" w:ascii="仿宋" w:hAnsi="仿宋" w:eastAsia="仿宋" w:cs="仿宋"/>
          <w:sz w:val="32"/>
          <w:szCs w:val="32"/>
        </w:rPr>
        <w:t>万元，主要包括：基本工资、津贴补贴、奖金、绩效工资、机关事业单位基本养老保险缴费、职业年金缴费、职工基本医疗保险缴费、其他社会保障缴费、住房公积金、生活补助。</w:t>
      </w:r>
    </w:p>
    <w:p>
      <w:pPr>
        <w:spacing w:line="576" w:lineRule="exact"/>
        <w:rPr>
          <w:rFonts w:hint="eastAsia" w:ascii="仿宋" w:hAnsi="仿宋" w:eastAsia="仿宋" w:cs="仿宋"/>
          <w:sz w:val="32"/>
          <w:szCs w:val="32"/>
        </w:rPr>
      </w:pPr>
      <w:r>
        <w:rPr>
          <w:rFonts w:hint="eastAsia" w:ascii="仿宋" w:hAnsi="仿宋" w:eastAsia="仿宋" w:cs="仿宋"/>
          <w:sz w:val="32"/>
          <w:szCs w:val="32"/>
        </w:rPr>
        <w:t>　　公用经费</w:t>
      </w:r>
      <w:r>
        <w:rPr>
          <w:rFonts w:hint="eastAsia" w:ascii="仿宋" w:hAnsi="仿宋" w:eastAsia="仿宋" w:cs="仿宋"/>
          <w:sz w:val="32"/>
          <w:szCs w:val="32"/>
          <w:lang w:val="en-US" w:eastAsia="zh-CN"/>
        </w:rPr>
        <w:t>18.3</w:t>
      </w:r>
      <w:r>
        <w:rPr>
          <w:rFonts w:hint="eastAsia" w:ascii="仿宋" w:hAnsi="仿宋" w:eastAsia="仿宋" w:cs="仿宋"/>
          <w:sz w:val="32"/>
          <w:szCs w:val="32"/>
        </w:rPr>
        <w:t>万元，主要包括：办公费、手续费、</w:t>
      </w:r>
      <w:r>
        <w:rPr>
          <w:rFonts w:hint="eastAsia" w:ascii="仿宋" w:hAnsi="仿宋" w:eastAsia="仿宋" w:cs="仿宋"/>
          <w:sz w:val="32"/>
          <w:szCs w:val="32"/>
          <w:lang w:eastAsia="zh-CN"/>
        </w:rPr>
        <w:t>水费、电费、</w:t>
      </w:r>
      <w:r>
        <w:rPr>
          <w:rFonts w:hint="eastAsia" w:ascii="仿宋" w:hAnsi="仿宋" w:eastAsia="仿宋" w:cs="仿宋"/>
          <w:sz w:val="32"/>
          <w:szCs w:val="32"/>
        </w:rPr>
        <w:t>邮电费、差旅费、培训费、公务接待费、</w:t>
      </w:r>
      <w:r>
        <w:rPr>
          <w:rFonts w:hint="eastAsia" w:ascii="仿宋" w:hAnsi="仿宋" w:eastAsia="仿宋" w:cs="仿宋"/>
          <w:sz w:val="32"/>
          <w:szCs w:val="32"/>
          <w:lang w:eastAsia="zh-CN"/>
        </w:rPr>
        <w:t>劳务费、</w:t>
      </w:r>
      <w:r>
        <w:rPr>
          <w:rFonts w:hint="eastAsia" w:ascii="仿宋" w:hAnsi="仿宋" w:eastAsia="仿宋" w:cs="仿宋"/>
          <w:sz w:val="32"/>
          <w:szCs w:val="32"/>
        </w:rPr>
        <w:t>委托业务费、工会经费、福利费、公务用车运行维护费、其他交通费用、其他商品和服务支出。</w:t>
      </w:r>
    </w:p>
    <w:p>
      <w:pPr>
        <w:spacing w:line="576" w:lineRule="exact"/>
        <w:ind w:firstLine="640" w:firstLineChars="200"/>
        <w:outlineLvl w:val="1"/>
        <w:rPr>
          <w:rStyle w:val="17"/>
          <w:rFonts w:ascii="黑体" w:hAnsi="黑体" w:eastAsia="黑体" w:cs="黑体"/>
          <w:b w:val="0"/>
        </w:rPr>
      </w:pPr>
      <w:bookmarkStart w:id="58" w:name="_Toc15377215"/>
      <w:bookmarkStart w:id="59" w:name="_Toc28430"/>
      <w:bookmarkStart w:id="60" w:name="_Toc15396609"/>
      <w:r>
        <w:rPr>
          <w:rFonts w:hint="eastAsia" w:ascii="黑体" w:hAnsi="黑体" w:eastAsia="黑体" w:cs="黑体"/>
          <w:sz w:val="32"/>
          <w:szCs w:val="32"/>
        </w:rPr>
        <w:t>七、</w:t>
      </w:r>
      <w:r>
        <w:rPr>
          <w:rStyle w:val="17"/>
          <w:rFonts w:hint="eastAsia" w:ascii="黑体" w:hAnsi="黑体" w:eastAsia="黑体" w:cs="黑体"/>
          <w:b w:val="0"/>
        </w:rPr>
        <w:t>财政拨款</w:t>
      </w:r>
      <w:r>
        <w:rPr>
          <w:rStyle w:val="17"/>
          <w:rFonts w:hint="eastAsia" w:ascii="黑体" w:hAnsi="黑体" w:eastAsia="黑体" w:cs="黑体"/>
        </w:rPr>
        <w:t>“</w:t>
      </w:r>
      <w:r>
        <w:rPr>
          <w:rStyle w:val="17"/>
          <w:rFonts w:hint="eastAsia" w:ascii="黑体" w:hAnsi="黑体" w:eastAsia="黑体" w:cs="黑体"/>
          <w:b w:val="0"/>
        </w:rPr>
        <w:t>三公”经费支出决算情况说明</w:t>
      </w:r>
      <w:bookmarkEnd w:id="58"/>
      <w:bookmarkEnd w:id="59"/>
      <w:bookmarkEnd w:id="60"/>
    </w:p>
    <w:p>
      <w:pPr>
        <w:spacing w:line="576" w:lineRule="exact"/>
        <w:ind w:firstLine="640" w:firstLineChars="200"/>
        <w:outlineLvl w:val="2"/>
        <w:rPr>
          <w:rFonts w:ascii="楷体" w:hAnsi="楷体" w:eastAsia="楷体" w:cs="楷体"/>
          <w:bCs/>
          <w:sz w:val="32"/>
          <w:szCs w:val="32"/>
        </w:rPr>
      </w:pPr>
      <w:bookmarkStart w:id="61" w:name="_Toc15377216"/>
      <w:bookmarkStart w:id="62" w:name="_Toc26455"/>
      <w:r>
        <w:rPr>
          <w:rFonts w:hint="eastAsia" w:ascii="楷体" w:hAnsi="楷体" w:eastAsia="楷体" w:cs="楷体"/>
          <w:bCs/>
          <w:sz w:val="32"/>
          <w:szCs w:val="32"/>
        </w:rPr>
        <w:t>（一）“三公”经费财政拨款支出决算总体情况说明</w:t>
      </w:r>
      <w:bookmarkEnd w:id="61"/>
      <w:bookmarkEnd w:id="62"/>
    </w:p>
    <w:p>
      <w:pPr>
        <w:keepNext/>
        <w:keepLines/>
        <w:spacing w:line="576" w:lineRule="exact"/>
        <w:ind w:firstLine="640" w:firstLineChars="200"/>
        <w:rPr>
          <w:rFonts w:hint="eastAsia" w:ascii="仿宋" w:hAnsi="仿宋" w:eastAsia="仿宋" w:cs="仿宋"/>
          <w:bCs/>
          <w:color w:val="000000"/>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年“三公”经费财政拨款支出决算为</w:t>
      </w:r>
      <w:r>
        <w:rPr>
          <w:rFonts w:hint="eastAsia" w:ascii="仿宋" w:hAnsi="仿宋" w:eastAsia="仿宋" w:cs="仿宋"/>
          <w:sz w:val="32"/>
          <w:szCs w:val="32"/>
          <w:lang w:val="en-US" w:eastAsia="zh-CN"/>
        </w:rPr>
        <w:t>6.03</w:t>
      </w:r>
      <w:r>
        <w:rPr>
          <w:rFonts w:hint="eastAsia" w:ascii="仿宋" w:hAnsi="仿宋" w:eastAsia="仿宋" w:cs="仿宋"/>
          <w:sz w:val="32"/>
          <w:szCs w:val="32"/>
        </w:rPr>
        <w:t>万元，完成预算100%，较上年增加</w:t>
      </w:r>
      <w:r>
        <w:rPr>
          <w:rFonts w:hint="eastAsia" w:ascii="仿宋" w:hAnsi="仿宋" w:eastAsia="仿宋" w:cs="仿宋"/>
          <w:sz w:val="32"/>
          <w:szCs w:val="32"/>
          <w:lang w:val="en-US" w:eastAsia="zh-CN"/>
        </w:rPr>
        <w:t>1.22</w:t>
      </w:r>
      <w:r>
        <w:rPr>
          <w:rFonts w:hint="eastAsia" w:ascii="仿宋" w:hAnsi="仿宋" w:eastAsia="仿宋" w:cs="仿宋"/>
          <w:sz w:val="32"/>
          <w:szCs w:val="32"/>
        </w:rPr>
        <w:t>万元，增</w:t>
      </w:r>
      <w:r>
        <w:rPr>
          <w:rFonts w:hint="eastAsia" w:ascii="仿宋" w:hAnsi="仿宋" w:eastAsia="仿宋" w:cs="仿宋"/>
          <w:sz w:val="32"/>
          <w:szCs w:val="32"/>
          <w:lang w:eastAsia="zh-CN"/>
        </w:rPr>
        <w:t>长</w:t>
      </w:r>
      <w:r>
        <w:rPr>
          <w:rFonts w:hint="eastAsia" w:ascii="仿宋" w:hAnsi="仿宋" w:eastAsia="仿宋" w:cs="仿宋"/>
          <w:sz w:val="32"/>
          <w:szCs w:val="32"/>
          <w:lang w:val="en-US" w:eastAsia="zh-CN"/>
        </w:rPr>
        <w:t>25.36</w:t>
      </w:r>
      <w:r>
        <w:rPr>
          <w:rFonts w:hint="eastAsia" w:ascii="仿宋" w:hAnsi="仿宋" w:eastAsia="仿宋" w:cs="仿宋"/>
          <w:sz w:val="32"/>
          <w:szCs w:val="32"/>
        </w:rPr>
        <w:t>%。决算数与预算数持平。较上年增加原因是</w:t>
      </w:r>
      <w:r>
        <w:rPr>
          <w:rFonts w:hint="eastAsia" w:ascii="仿宋" w:hAnsi="仿宋" w:eastAsia="仿宋" w:cs="仿宋"/>
          <w:bCs/>
          <w:color w:val="000000"/>
          <w:sz w:val="32"/>
          <w:szCs w:val="32"/>
          <w:lang w:eastAsia="zh-CN"/>
        </w:rPr>
        <w:t>公务用车老化，维修费用增加，博物馆迁建及考古业务等活动增加，公务用车费用增加。</w:t>
      </w:r>
    </w:p>
    <w:p>
      <w:pPr>
        <w:spacing w:line="576" w:lineRule="exact"/>
        <w:ind w:firstLine="640" w:firstLineChars="200"/>
        <w:rPr>
          <w:rFonts w:ascii="楷体" w:hAnsi="楷体" w:eastAsia="楷体" w:cs="楷体"/>
          <w:bCs/>
          <w:sz w:val="32"/>
          <w:szCs w:val="32"/>
        </w:rPr>
      </w:pPr>
      <w:bookmarkStart w:id="63" w:name="_Toc15377217"/>
      <w:r>
        <w:rPr>
          <w:rFonts w:hint="eastAsia" w:ascii="楷体" w:hAnsi="楷体" w:eastAsia="楷体" w:cs="楷体"/>
          <w:bCs/>
          <w:sz w:val="32"/>
          <w:szCs w:val="32"/>
        </w:rPr>
        <w:t>（二）“三公”经费财政拨款支出决算具体情况说明</w:t>
      </w:r>
      <w:bookmarkEnd w:id="63"/>
    </w:p>
    <w:p>
      <w:pPr>
        <w:spacing w:line="576" w:lineRule="exact"/>
        <w:ind w:firstLine="640" w:firstLineChars="200"/>
        <w:rPr>
          <w:rFonts w:hint="eastAsia" w:ascii="仿宋" w:hAnsi="仿宋" w:eastAsia="仿宋" w:cs="仿宋"/>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年“三公”经费财政拨款支出决算中，因公出国（境）费支出决算0万元，占0%；公务用车购置及运行维护费支出决算</w:t>
      </w:r>
      <w:r>
        <w:rPr>
          <w:rFonts w:hint="eastAsia" w:ascii="仿宋" w:hAnsi="仿宋" w:eastAsia="仿宋" w:cs="仿宋"/>
          <w:sz w:val="32"/>
          <w:szCs w:val="32"/>
          <w:lang w:val="en-US" w:eastAsia="zh-CN"/>
        </w:rPr>
        <w:t>5.58</w:t>
      </w:r>
      <w:r>
        <w:rPr>
          <w:rFonts w:hint="eastAsia" w:ascii="仿宋" w:hAnsi="仿宋" w:eastAsia="仿宋" w:cs="仿宋"/>
          <w:sz w:val="32"/>
          <w:szCs w:val="32"/>
        </w:rPr>
        <w:t>万元，占</w:t>
      </w:r>
      <w:r>
        <w:rPr>
          <w:rFonts w:hint="eastAsia" w:ascii="仿宋" w:hAnsi="仿宋" w:eastAsia="仿宋" w:cs="仿宋"/>
          <w:sz w:val="32"/>
          <w:szCs w:val="32"/>
          <w:lang w:val="en-US" w:eastAsia="zh-CN"/>
        </w:rPr>
        <w:t>92.54</w:t>
      </w:r>
      <w:r>
        <w:rPr>
          <w:rFonts w:hint="eastAsia" w:ascii="仿宋" w:hAnsi="仿宋" w:eastAsia="仿宋" w:cs="仿宋"/>
          <w:sz w:val="32"/>
          <w:szCs w:val="32"/>
        </w:rPr>
        <w:t>%；公务接待费支出决算</w:t>
      </w:r>
      <w:r>
        <w:rPr>
          <w:rFonts w:hint="eastAsia" w:ascii="仿宋" w:hAnsi="仿宋" w:eastAsia="仿宋" w:cs="仿宋"/>
          <w:sz w:val="32"/>
          <w:szCs w:val="32"/>
          <w:lang w:val="en-US" w:eastAsia="zh-CN"/>
        </w:rPr>
        <w:t>0.45</w:t>
      </w:r>
      <w:r>
        <w:rPr>
          <w:rFonts w:hint="eastAsia" w:ascii="仿宋" w:hAnsi="仿宋" w:eastAsia="仿宋" w:cs="仿宋"/>
          <w:sz w:val="32"/>
          <w:szCs w:val="32"/>
        </w:rPr>
        <w:t>万元，占</w:t>
      </w:r>
      <w:r>
        <w:rPr>
          <w:rFonts w:hint="eastAsia" w:ascii="仿宋" w:hAnsi="仿宋" w:eastAsia="仿宋" w:cs="仿宋"/>
          <w:sz w:val="32"/>
          <w:szCs w:val="32"/>
          <w:lang w:val="en-US" w:eastAsia="zh-CN"/>
        </w:rPr>
        <w:t>7.46</w:t>
      </w:r>
      <w:r>
        <w:rPr>
          <w:rFonts w:hint="eastAsia" w:ascii="仿宋" w:hAnsi="仿宋" w:eastAsia="仿宋" w:cs="仿宋"/>
          <w:sz w:val="32"/>
          <w:szCs w:val="32"/>
        </w:rPr>
        <w:t>%。具体情况如下：</w:t>
      </w:r>
    </w:p>
    <w:p>
      <w:pPr>
        <w:pStyle w:val="5"/>
        <w:spacing w:before="93"/>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drawing>
          <wp:inline distT="0" distB="0" distL="114300" distR="114300">
            <wp:extent cx="4600575" cy="2321560"/>
            <wp:effectExtent l="4445" t="5080" r="5080" b="16510"/>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hint="eastAsia" w:ascii="楷体" w:hAnsi="楷体" w:eastAsia="楷体" w:cs="楷体"/>
          <w:sz w:val="28"/>
          <w:szCs w:val="28"/>
          <w:lang w:val="en-US" w:eastAsia="zh-CN"/>
        </w:rPr>
        <w:t xml:space="preserve"> </w:t>
      </w:r>
    </w:p>
    <w:p>
      <w:pPr>
        <w:pStyle w:val="5"/>
        <w:spacing w:before="93"/>
        <w:jc w:val="center"/>
        <w:rPr>
          <w:rFonts w:ascii="华文仿宋" w:hAnsi="华文仿宋" w:eastAsia="华文仿宋"/>
          <w:bCs/>
          <w:color w:val="000000"/>
          <w:sz w:val="32"/>
          <w:szCs w:val="32"/>
        </w:rPr>
      </w:pPr>
      <w:r>
        <w:rPr>
          <w:rFonts w:hint="eastAsia" w:ascii="楷体" w:hAnsi="楷体" w:eastAsia="楷体" w:cs="楷体"/>
          <w:sz w:val="28"/>
          <w:szCs w:val="28"/>
        </w:rPr>
        <w:t>（图7：“三公”经费财政拨款支出结构）</w:t>
      </w:r>
    </w:p>
    <w:p>
      <w:pPr>
        <w:autoSpaceDE w:val="0"/>
        <w:autoSpaceDN w:val="0"/>
        <w:adjustRightInd w:val="0"/>
        <w:spacing w:line="576" w:lineRule="exact"/>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1.因公出国（境）经费支出0万元</w:t>
      </w:r>
      <w:r>
        <w:rPr>
          <w:rFonts w:hint="eastAsia" w:ascii="仿宋" w:hAnsi="仿宋" w:eastAsia="仿宋" w:cs="仿宋"/>
          <w:color w:val="000000"/>
          <w:sz w:val="32"/>
          <w:szCs w:val="32"/>
        </w:rPr>
        <w:t>，</w:t>
      </w:r>
      <w:r>
        <w:rPr>
          <w:rStyle w:val="30"/>
          <w:rFonts w:hint="eastAsia" w:ascii="仿宋" w:hAnsi="仿宋" w:eastAsia="仿宋" w:cs="仿宋"/>
          <w:b w:val="0"/>
          <w:bCs/>
          <w:color w:val="000000"/>
          <w:sz w:val="32"/>
          <w:szCs w:val="32"/>
        </w:rPr>
        <w:t>年初未安排预算</w:t>
      </w:r>
      <w:r>
        <w:rPr>
          <w:rFonts w:hint="eastAsia" w:ascii="仿宋" w:hAnsi="仿宋" w:eastAsia="仿宋" w:cs="仿宋"/>
          <w:bCs/>
          <w:color w:val="000000"/>
          <w:sz w:val="32"/>
          <w:szCs w:val="32"/>
        </w:rPr>
        <w:t>。因公出国（境）支出决算较202</w:t>
      </w:r>
      <w:r>
        <w:rPr>
          <w:rFonts w:hint="eastAsia" w:ascii="仿宋" w:hAnsi="仿宋" w:eastAsia="仿宋" w:cs="仿宋"/>
          <w:bCs/>
          <w:color w:val="000000"/>
          <w:sz w:val="32"/>
          <w:szCs w:val="32"/>
          <w:lang w:val="en-US" w:eastAsia="zh-CN"/>
        </w:rPr>
        <w:t>3</w:t>
      </w:r>
      <w:r>
        <w:rPr>
          <w:rFonts w:hint="eastAsia" w:ascii="仿宋" w:hAnsi="仿宋" w:eastAsia="仿宋" w:cs="仿宋"/>
          <w:bCs/>
          <w:color w:val="000000"/>
          <w:sz w:val="32"/>
          <w:szCs w:val="32"/>
        </w:rPr>
        <w:t>年无变化。</w:t>
      </w:r>
    </w:p>
    <w:p>
      <w:pPr>
        <w:keepNext/>
        <w:keepLines/>
        <w:spacing w:line="576" w:lineRule="exact"/>
        <w:ind w:firstLine="640" w:firstLineChars="200"/>
        <w:rPr>
          <w:rFonts w:ascii="仿宋" w:hAnsi="仿宋" w:eastAsia="仿宋" w:cs="仿宋"/>
          <w:bCs/>
          <w:color w:val="000000"/>
          <w:sz w:val="32"/>
          <w:szCs w:val="32"/>
        </w:rPr>
      </w:pPr>
      <w:bookmarkStart w:id="64" w:name="_Toc15377218"/>
      <w:bookmarkStart w:id="65" w:name="_Toc15396610"/>
      <w:r>
        <w:rPr>
          <w:rFonts w:hint="eastAsia" w:ascii="仿宋" w:hAnsi="仿宋" w:eastAsia="仿宋" w:cs="仿宋"/>
          <w:bCs/>
          <w:color w:val="000000"/>
          <w:sz w:val="32"/>
          <w:szCs w:val="32"/>
        </w:rPr>
        <w:t>2.公务用车购置及运行维护费支出</w:t>
      </w:r>
      <w:r>
        <w:rPr>
          <w:rFonts w:hint="eastAsia" w:ascii="仿宋" w:hAnsi="仿宋" w:eastAsia="仿宋" w:cs="仿宋"/>
          <w:bCs/>
          <w:color w:val="000000"/>
          <w:sz w:val="32"/>
          <w:szCs w:val="32"/>
          <w:lang w:val="en-US" w:eastAsia="zh-CN"/>
        </w:rPr>
        <w:t>5.58</w:t>
      </w:r>
      <w:r>
        <w:rPr>
          <w:rFonts w:hint="eastAsia" w:ascii="仿宋" w:hAnsi="仿宋" w:eastAsia="仿宋" w:cs="仿宋"/>
          <w:bCs/>
          <w:color w:val="000000"/>
          <w:sz w:val="32"/>
          <w:szCs w:val="32"/>
        </w:rPr>
        <w:t>万元，完成预算100%。公务用车购置及运行维护费支出决算比202</w:t>
      </w:r>
      <w:r>
        <w:rPr>
          <w:rFonts w:hint="eastAsia" w:ascii="仿宋" w:hAnsi="仿宋" w:eastAsia="仿宋" w:cs="仿宋"/>
          <w:bCs/>
          <w:color w:val="000000"/>
          <w:sz w:val="32"/>
          <w:szCs w:val="32"/>
          <w:lang w:val="en-US" w:eastAsia="zh-CN"/>
        </w:rPr>
        <w:t>3</w:t>
      </w:r>
      <w:r>
        <w:rPr>
          <w:rFonts w:hint="eastAsia" w:ascii="仿宋" w:hAnsi="仿宋" w:eastAsia="仿宋" w:cs="仿宋"/>
          <w:bCs/>
          <w:color w:val="000000"/>
          <w:sz w:val="32"/>
          <w:szCs w:val="32"/>
        </w:rPr>
        <w:t>年增加</w:t>
      </w:r>
      <w:r>
        <w:rPr>
          <w:rFonts w:hint="eastAsia" w:ascii="仿宋" w:hAnsi="仿宋" w:eastAsia="仿宋" w:cs="仿宋"/>
          <w:bCs/>
          <w:color w:val="000000"/>
          <w:sz w:val="32"/>
          <w:szCs w:val="32"/>
          <w:lang w:val="en-US" w:eastAsia="zh-CN"/>
        </w:rPr>
        <w:t>1.96</w:t>
      </w:r>
      <w:r>
        <w:rPr>
          <w:rFonts w:hint="eastAsia" w:ascii="仿宋" w:hAnsi="仿宋" w:eastAsia="仿宋" w:cs="仿宋"/>
          <w:bCs/>
          <w:color w:val="000000"/>
          <w:sz w:val="32"/>
          <w:szCs w:val="32"/>
        </w:rPr>
        <w:t>万元，增</w:t>
      </w:r>
      <w:r>
        <w:rPr>
          <w:rFonts w:hint="eastAsia" w:ascii="仿宋" w:hAnsi="仿宋" w:eastAsia="仿宋" w:cs="仿宋"/>
          <w:bCs/>
          <w:color w:val="000000"/>
          <w:sz w:val="32"/>
          <w:szCs w:val="32"/>
          <w:lang w:eastAsia="zh-CN"/>
        </w:rPr>
        <w:t>长</w:t>
      </w:r>
      <w:r>
        <w:rPr>
          <w:rFonts w:hint="eastAsia" w:ascii="仿宋" w:hAnsi="仿宋" w:eastAsia="仿宋" w:cs="仿宋"/>
          <w:bCs/>
          <w:color w:val="000000"/>
          <w:sz w:val="32"/>
          <w:szCs w:val="32"/>
        </w:rPr>
        <w:t>4%。主要原因是</w:t>
      </w:r>
      <w:r>
        <w:rPr>
          <w:rFonts w:hint="eastAsia" w:ascii="仿宋" w:hAnsi="仿宋" w:eastAsia="仿宋" w:cs="仿宋"/>
          <w:bCs/>
          <w:color w:val="000000"/>
          <w:sz w:val="32"/>
          <w:szCs w:val="32"/>
          <w:lang w:eastAsia="zh-CN"/>
        </w:rPr>
        <w:t>公务用车老化、维修增加、博物馆迁建及考古业务等活动增加</w:t>
      </w:r>
      <w:r>
        <w:rPr>
          <w:rFonts w:hint="eastAsia" w:ascii="仿宋" w:hAnsi="仿宋" w:eastAsia="仿宋" w:cs="仿宋"/>
          <w:bCs/>
          <w:color w:val="000000"/>
          <w:sz w:val="32"/>
          <w:szCs w:val="32"/>
        </w:rPr>
        <w:t>，公务运行维护油料费、过路费等增加。</w:t>
      </w:r>
    </w:p>
    <w:p>
      <w:pPr>
        <w:spacing w:line="576" w:lineRule="exact"/>
        <w:ind w:firstLine="640" w:firstLineChars="200"/>
        <w:rPr>
          <w:rFonts w:ascii="仿宋" w:hAnsi="仿宋" w:eastAsia="仿宋" w:cs="仿宋"/>
          <w:color w:val="000000"/>
          <w:sz w:val="32"/>
          <w:szCs w:val="32"/>
        </w:rPr>
      </w:pPr>
      <w:r>
        <w:rPr>
          <w:rFonts w:hint="eastAsia" w:ascii="仿宋" w:hAnsi="仿宋" w:eastAsia="仿宋" w:cs="仿宋"/>
          <w:bCs/>
          <w:color w:val="000000"/>
          <w:sz w:val="32"/>
          <w:szCs w:val="32"/>
        </w:rPr>
        <w:t>其中：公务用车购置费支出0万元。全年按规定更新购置公务用车0辆，截至202</w:t>
      </w:r>
      <w:r>
        <w:rPr>
          <w:rFonts w:hint="eastAsia" w:ascii="仿宋" w:hAnsi="仿宋" w:eastAsia="仿宋" w:cs="仿宋"/>
          <w:bCs/>
          <w:color w:val="000000"/>
          <w:sz w:val="32"/>
          <w:szCs w:val="32"/>
          <w:lang w:val="en-US" w:eastAsia="zh-CN"/>
        </w:rPr>
        <w:t>4</w:t>
      </w:r>
      <w:r>
        <w:rPr>
          <w:rFonts w:hint="eastAsia" w:ascii="仿宋" w:hAnsi="仿宋" w:eastAsia="仿宋" w:cs="仿宋"/>
          <w:bCs/>
          <w:color w:val="000000"/>
          <w:sz w:val="32"/>
          <w:szCs w:val="32"/>
        </w:rPr>
        <w:t>年12月底，单</w:t>
      </w:r>
      <w:r>
        <w:rPr>
          <w:rFonts w:hint="eastAsia" w:ascii="仿宋" w:hAnsi="仿宋" w:eastAsia="仿宋" w:cs="仿宋"/>
          <w:color w:val="000000"/>
          <w:sz w:val="32"/>
          <w:szCs w:val="32"/>
        </w:rPr>
        <w:t>位共有公务用车1辆，其中：轿车1辆。</w:t>
      </w:r>
    </w:p>
    <w:p>
      <w:pPr>
        <w:spacing w:line="576" w:lineRule="exact"/>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公务用车运行维护费支出</w:t>
      </w:r>
      <w:r>
        <w:rPr>
          <w:rFonts w:hint="eastAsia" w:ascii="仿宋" w:hAnsi="仿宋" w:eastAsia="仿宋" w:cs="仿宋"/>
          <w:bCs/>
          <w:color w:val="000000"/>
          <w:sz w:val="32"/>
          <w:szCs w:val="32"/>
          <w:lang w:val="en-US" w:eastAsia="zh-CN"/>
        </w:rPr>
        <w:t>5.58</w:t>
      </w:r>
      <w:r>
        <w:rPr>
          <w:rFonts w:hint="eastAsia" w:ascii="仿宋" w:hAnsi="仿宋" w:eastAsia="仿宋" w:cs="仿宋"/>
          <w:bCs/>
          <w:color w:val="000000"/>
          <w:sz w:val="32"/>
          <w:szCs w:val="32"/>
        </w:rPr>
        <w:t>万元。</w:t>
      </w:r>
      <w:r>
        <w:rPr>
          <w:rFonts w:ascii="仿宋" w:hAnsi="仿宋" w:eastAsia="仿宋" w:cs="仿宋"/>
          <w:bCs/>
          <w:color w:val="000000"/>
          <w:sz w:val="32"/>
          <w:szCs w:val="32"/>
        </w:rPr>
        <w:t>用</w:t>
      </w:r>
      <w:r>
        <w:rPr>
          <w:rFonts w:hint="eastAsia" w:ascii="仿宋" w:hAnsi="仿宋" w:eastAsia="仿宋" w:cs="仿宋"/>
          <w:bCs/>
          <w:color w:val="000000"/>
          <w:sz w:val="32"/>
          <w:szCs w:val="32"/>
        </w:rPr>
        <w:t>于乡村振兴、文物保护等所需的公务用车燃料费、维修费、过路过桥费、保险费等支出。</w:t>
      </w:r>
    </w:p>
    <w:p>
      <w:pPr>
        <w:spacing w:line="576" w:lineRule="exact"/>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3.公务接待费支出</w:t>
      </w:r>
      <w:r>
        <w:rPr>
          <w:rFonts w:hint="eastAsia" w:ascii="仿宋" w:hAnsi="仿宋" w:eastAsia="仿宋" w:cs="仿宋"/>
          <w:bCs/>
          <w:color w:val="000000"/>
          <w:sz w:val="32"/>
          <w:szCs w:val="32"/>
          <w:lang w:val="en-US" w:eastAsia="zh-CN"/>
        </w:rPr>
        <w:t>0.45</w:t>
      </w:r>
      <w:r>
        <w:rPr>
          <w:rFonts w:hint="eastAsia" w:ascii="仿宋" w:hAnsi="仿宋" w:eastAsia="仿宋" w:cs="仿宋"/>
          <w:bCs/>
          <w:color w:val="000000"/>
          <w:sz w:val="32"/>
          <w:szCs w:val="32"/>
        </w:rPr>
        <w:t>万元，完成预算100%。公务接待费支出决算比202</w:t>
      </w:r>
      <w:r>
        <w:rPr>
          <w:rFonts w:hint="eastAsia" w:ascii="仿宋" w:hAnsi="仿宋" w:eastAsia="仿宋" w:cs="仿宋"/>
          <w:bCs/>
          <w:color w:val="000000"/>
          <w:sz w:val="32"/>
          <w:szCs w:val="32"/>
          <w:lang w:val="en-US" w:eastAsia="zh-CN"/>
        </w:rPr>
        <w:t>3</w:t>
      </w:r>
      <w:r>
        <w:rPr>
          <w:rFonts w:hint="eastAsia" w:ascii="仿宋" w:hAnsi="仿宋" w:eastAsia="仿宋" w:cs="仿宋"/>
          <w:bCs/>
          <w:color w:val="000000"/>
          <w:sz w:val="32"/>
          <w:szCs w:val="32"/>
        </w:rPr>
        <w:t>年</w:t>
      </w:r>
      <w:r>
        <w:rPr>
          <w:rFonts w:hint="eastAsia" w:ascii="仿宋" w:hAnsi="仿宋" w:eastAsia="仿宋" w:cs="仿宋"/>
          <w:bCs/>
          <w:color w:val="000000"/>
          <w:sz w:val="32"/>
          <w:szCs w:val="32"/>
          <w:lang w:eastAsia="zh-CN"/>
        </w:rPr>
        <w:t>减少</w:t>
      </w:r>
      <w:r>
        <w:rPr>
          <w:rFonts w:hint="eastAsia" w:ascii="仿宋" w:hAnsi="仿宋" w:eastAsia="仿宋" w:cs="仿宋"/>
          <w:bCs/>
          <w:color w:val="000000"/>
          <w:sz w:val="32"/>
          <w:szCs w:val="32"/>
          <w:lang w:val="en-US" w:eastAsia="zh-CN"/>
        </w:rPr>
        <w:t>0.74</w:t>
      </w:r>
      <w:r>
        <w:rPr>
          <w:rFonts w:hint="eastAsia" w:ascii="仿宋" w:hAnsi="仿宋" w:eastAsia="仿宋" w:cs="仿宋"/>
          <w:bCs/>
          <w:color w:val="000000"/>
          <w:sz w:val="32"/>
          <w:szCs w:val="32"/>
        </w:rPr>
        <w:t>万元，</w:t>
      </w:r>
      <w:r>
        <w:rPr>
          <w:rFonts w:hint="eastAsia" w:ascii="仿宋" w:hAnsi="仿宋" w:eastAsia="仿宋" w:cs="仿宋"/>
          <w:bCs/>
          <w:color w:val="000000"/>
          <w:sz w:val="32"/>
          <w:szCs w:val="32"/>
          <w:lang w:eastAsia="zh-CN"/>
        </w:rPr>
        <w:t>减少</w:t>
      </w:r>
      <w:r>
        <w:rPr>
          <w:rFonts w:hint="eastAsia" w:ascii="仿宋" w:hAnsi="仿宋" w:eastAsia="仿宋" w:cs="仿宋"/>
          <w:bCs/>
          <w:color w:val="000000"/>
          <w:sz w:val="32"/>
          <w:szCs w:val="32"/>
          <w:lang w:val="en-US" w:eastAsia="zh-CN"/>
        </w:rPr>
        <w:t>62.2</w:t>
      </w:r>
      <w:r>
        <w:rPr>
          <w:rFonts w:hint="eastAsia" w:ascii="仿宋" w:hAnsi="仿宋" w:eastAsia="仿宋" w:cs="仿宋"/>
          <w:bCs/>
          <w:color w:val="000000"/>
          <w:sz w:val="32"/>
          <w:szCs w:val="32"/>
        </w:rPr>
        <w:t>%。主要原因是来馆交流学习批次及人数</w:t>
      </w:r>
      <w:r>
        <w:rPr>
          <w:rFonts w:hint="eastAsia" w:ascii="仿宋" w:hAnsi="仿宋" w:eastAsia="仿宋" w:cs="仿宋"/>
          <w:bCs/>
          <w:color w:val="000000"/>
          <w:sz w:val="32"/>
          <w:szCs w:val="32"/>
          <w:lang w:eastAsia="zh-CN"/>
        </w:rPr>
        <w:t>减少</w:t>
      </w:r>
      <w:r>
        <w:rPr>
          <w:rFonts w:hint="eastAsia" w:ascii="仿宋" w:hAnsi="仿宋" w:eastAsia="仿宋" w:cs="仿宋"/>
          <w:bCs/>
          <w:color w:val="000000"/>
          <w:sz w:val="32"/>
          <w:szCs w:val="32"/>
        </w:rPr>
        <w:t>其中：</w:t>
      </w:r>
    </w:p>
    <w:p>
      <w:pPr>
        <w:spacing w:line="576" w:lineRule="exact"/>
        <w:ind w:firstLine="640" w:firstLineChars="200"/>
        <w:rPr>
          <w:rFonts w:hint="default" w:ascii="仿宋" w:hAnsi="仿宋" w:eastAsia="仿宋" w:cs="仿宋"/>
          <w:sz w:val="32"/>
          <w:szCs w:val="32"/>
          <w:lang w:val="en-US" w:eastAsia="zh-CN"/>
        </w:rPr>
      </w:pPr>
      <w:r>
        <w:rPr>
          <w:rFonts w:hint="eastAsia" w:ascii="仿宋" w:hAnsi="仿宋" w:eastAsia="仿宋" w:cs="仿宋"/>
          <w:bCs/>
          <w:color w:val="000000"/>
          <w:sz w:val="32"/>
          <w:szCs w:val="32"/>
          <w:highlight w:val="none"/>
        </w:rPr>
        <w:t>国内公务接待支出</w:t>
      </w:r>
      <w:r>
        <w:rPr>
          <w:rFonts w:hint="eastAsia" w:ascii="仿宋" w:hAnsi="仿宋" w:eastAsia="仿宋" w:cs="仿宋"/>
          <w:bCs/>
          <w:color w:val="000000"/>
          <w:sz w:val="32"/>
          <w:szCs w:val="32"/>
          <w:highlight w:val="none"/>
          <w:lang w:val="en-US" w:eastAsia="zh-CN"/>
        </w:rPr>
        <w:t>0.45</w:t>
      </w:r>
      <w:r>
        <w:rPr>
          <w:rFonts w:hint="eastAsia" w:ascii="仿宋" w:hAnsi="仿宋" w:eastAsia="仿宋" w:cs="仿宋"/>
          <w:bCs/>
          <w:color w:val="000000"/>
          <w:sz w:val="32"/>
          <w:szCs w:val="32"/>
          <w:highlight w:val="none"/>
        </w:rPr>
        <w:t>万元</w:t>
      </w:r>
      <w:r>
        <w:rPr>
          <w:rFonts w:hint="eastAsia" w:ascii="仿宋" w:hAnsi="仿宋" w:eastAsia="仿宋" w:cs="仿宋"/>
          <w:color w:val="000000"/>
          <w:sz w:val="32"/>
          <w:szCs w:val="32"/>
          <w:highlight w:val="none"/>
        </w:rPr>
        <w:t>。主要用于开展业务活动等</w:t>
      </w:r>
      <w:r>
        <w:rPr>
          <w:rFonts w:hint="eastAsia" w:ascii="仿宋" w:hAnsi="仿宋" w:eastAsia="仿宋" w:cs="仿宋"/>
          <w:color w:val="000000"/>
          <w:sz w:val="32"/>
          <w:szCs w:val="32"/>
          <w:highlight w:val="none"/>
          <w:lang w:eastAsia="zh-CN"/>
        </w:rPr>
        <w:t>公务接待</w:t>
      </w:r>
      <w:r>
        <w:rPr>
          <w:rFonts w:hint="eastAsia" w:ascii="仿宋" w:hAnsi="仿宋" w:eastAsia="仿宋" w:cs="仿宋"/>
          <w:color w:val="000000"/>
          <w:sz w:val="32"/>
          <w:szCs w:val="32"/>
          <w:highlight w:val="none"/>
        </w:rPr>
        <w:t>。国内公务接待</w:t>
      </w:r>
      <w:r>
        <w:rPr>
          <w:rFonts w:hint="eastAsia" w:ascii="仿宋" w:hAnsi="仿宋" w:eastAsia="仿宋" w:cs="仿宋"/>
          <w:color w:val="000000"/>
          <w:sz w:val="32"/>
          <w:szCs w:val="32"/>
          <w:highlight w:val="none"/>
          <w:lang w:val="en-US" w:eastAsia="zh-CN"/>
        </w:rPr>
        <w:t>7</w:t>
      </w:r>
      <w:r>
        <w:rPr>
          <w:rFonts w:hint="eastAsia" w:ascii="仿宋" w:hAnsi="仿宋" w:eastAsia="仿宋" w:cs="仿宋"/>
          <w:color w:val="000000"/>
          <w:sz w:val="32"/>
          <w:szCs w:val="32"/>
          <w:highlight w:val="none"/>
        </w:rPr>
        <w:t>批次，</w:t>
      </w:r>
      <w:r>
        <w:rPr>
          <w:rFonts w:hint="eastAsia" w:ascii="仿宋" w:hAnsi="仿宋" w:eastAsia="仿宋" w:cs="仿宋"/>
          <w:color w:val="000000"/>
          <w:sz w:val="32"/>
          <w:szCs w:val="32"/>
          <w:highlight w:val="none"/>
          <w:lang w:val="en-US" w:eastAsia="zh-CN"/>
        </w:rPr>
        <w:t>28</w:t>
      </w:r>
      <w:r>
        <w:rPr>
          <w:rFonts w:hint="eastAsia" w:ascii="仿宋" w:hAnsi="仿宋" w:eastAsia="仿宋" w:cs="仿宋"/>
          <w:color w:val="000000"/>
          <w:sz w:val="32"/>
          <w:szCs w:val="32"/>
          <w:highlight w:val="none"/>
        </w:rPr>
        <w:t>人次</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不包括陪同人员），共计支出</w:t>
      </w:r>
      <w:r>
        <w:rPr>
          <w:rFonts w:hint="eastAsia" w:ascii="仿宋" w:hAnsi="仿宋" w:eastAsia="仿宋" w:cs="仿宋"/>
          <w:color w:val="000000"/>
          <w:sz w:val="32"/>
          <w:szCs w:val="32"/>
          <w:highlight w:val="none"/>
          <w:lang w:val="en-US" w:eastAsia="zh-CN"/>
        </w:rPr>
        <w:t>0.45</w:t>
      </w:r>
      <w:r>
        <w:rPr>
          <w:rFonts w:hint="eastAsia" w:ascii="仿宋" w:hAnsi="仿宋" w:eastAsia="仿宋" w:cs="仿宋"/>
          <w:color w:val="000000"/>
          <w:sz w:val="32"/>
          <w:szCs w:val="32"/>
          <w:highlight w:val="none"/>
        </w:rPr>
        <w:t>万元，具体内容包括</w:t>
      </w:r>
      <w:r>
        <w:rPr>
          <w:rFonts w:hint="eastAsia" w:ascii="仿宋" w:hAnsi="仿宋" w:eastAsia="仿宋" w:cs="仿宋"/>
          <w:color w:val="000000"/>
          <w:sz w:val="32"/>
          <w:szCs w:val="32"/>
          <w:highlight w:val="none"/>
          <w:lang w:eastAsia="zh-CN"/>
        </w:rPr>
        <w:t>省文物局博物馆绩效评估实地检查</w:t>
      </w:r>
      <w:r>
        <w:rPr>
          <w:rFonts w:hint="eastAsia" w:ascii="仿宋" w:hAnsi="仿宋" w:eastAsia="仿宋" w:cs="仿宋"/>
          <w:color w:val="000000"/>
          <w:sz w:val="32"/>
          <w:szCs w:val="32"/>
          <w:highlight w:val="none"/>
          <w:lang w:val="en-US" w:eastAsia="zh-CN"/>
        </w:rPr>
        <w:t>750</w:t>
      </w:r>
      <w:r>
        <w:rPr>
          <w:rFonts w:hint="eastAsia" w:ascii="仿宋" w:hAnsi="仿宋" w:eastAsia="仿宋" w:cs="仿宋"/>
          <w:color w:val="000000"/>
          <w:sz w:val="32"/>
          <w:szCs w:val="32"/>
          <w:highlight w:val="none"/>
        </w:rPr>
        <w:t>元；</w:t>
      </w:r>
      <w:r>
        <w:rPr>
          <w:rFonts w:hint="eastAsia" w:ascii="仿宋" w:hAnsi="仿宋" w:eastAsia="仿宋" w:cs="仿宋"/>
          <w:color w:val="000000"/>
          <w:sz w:val="32"/>
          <w:szCs w:val="32"/>
          <w:highlight w:val="none"/>
          <w:lang w:eastAsia="zh-CN"/>
        </w:rPr>
        <w:t>四川博物院《中国蜀道展临时展览陈列大纲编制》小组调研</w:t>
      </w:r>
      <w:r>
        <w:rPr>
          <w:rFonts w:hint="eastAsia" w:ascii="仿宋" w:hAnsi="仿宋" w:eastAsia="仿宋" w:cs="仿宋"/>
          <w:color w:val="000000"/>
          <w:sz w:val="32"/>
          <w:szCs w:val="32"/>
          <w:highlight w:val="none"/>
          <w:lang w:val="en-US" w:eastAsia="zh-CN"/>
        </w:rPr>
        <w:t>750</w:t>
      </w:r>
      <w:r>
        <w:rPr>
          <w:rFonts w:hint="eastAsia" w:ascii="仿宋" w:hAnsi="仿宋" w:eastAsia="仿宋" w:cs="仿宋"/>
          <w:color w:val="000000"/>
          <w:sz w:val="32"/>
          <w:szCs w:val="32"/>
          <w:highlight w:val="none"/>
        </w:rPr>
        <w:t>元；</w:t>
      </w:r>
      <w:r>
        <w:rPr>
          <w:rFonts w:hint="eastAsia" w:ascii="仿宋" w:hAnsi="仿宋" w:eastAsia="仿宋" w:cs="仿宋"/>
          <w:color w:val="000000"/>
          <w:sz w:val="32"/>
          <w:szCs w:val="32"/>
          <w:highlight w:val="none"/>
          <w:lang w:eastAsia="zh-CN"/>
        </w:rPr>
        <w:t>麦积山石窟艺术研究所来我馆考察调研</w:t>
      </w:r>
      <w:r>
        <w:rPr>
          <w:rFonts w:hint="eastAsia" w:ascii="仿宋" w:hAnsi="仿宋" w:eastAsia="仿宋" w:cs="仿宋"/>
          <w:color w:val="000000"/>
          <w:sz w:val="32"/>
          <w:szCs w:val="32"/>
          <w:highlight w:val="none"/>
          <w:lang w:val="en-US" w:eastAsia="zh-CN"/>
        </w:rPr>
        <w:t>626元；</w:t>
      </w:r>
      <w:r>
        <w:rPr>
          <w:rFonts w:hint="eastAsia" w:ascii="仿宋" w:hAnsi="仿宋" w:eastAsia="仿宋" w:cs="仿宋"/>
          <w:color w:val="000000"/>
          <w:sz w:val="32"/>
          <w:szCs w:val="32"/>
          <w:highlight w:val="none"/>
        </w:rPr>
        <w:t>省文物局开展202</w:t>
      </w:r>
      <w:r>
        <w:rPr>
          <w:rFonts w:hint="eastAsia" w:ascii="仿宋" w:hAnsi="仿宋" w:eastAsia="仿宋" w:cs="仿宋"/>
          <w:color w:val="000000"/>
          <w:sz w:val="32"/>
          <w:szCs w:val="32"/>
          <w:highlight w:val="none"/>
          <w:lang w:val="en-US" w:eastAsia="zh-CN"/>
        </w:rPr>
        <w:t>3</w:t>
      </w:r>
      <w:r>
        <w:rPr>
          <w:rFonts w:hint="eastAsia" w:ascii="仿宋" w:hAnsi="仿宋" w:eastAsia="仿宋" w:cs="仿宋"/>
          <w:color w:val="000000"/>
          <w:sz w:val="32"/>
          <w:szCs w:val="32"/>
          <w:highlight w:val="none"/>
        </w:rPr>
        <w:t>年度</w:t>
      </w:r>
      <w:r>
        <w:rPr>
          <w:rFonts w:hint="eastAsia" w:ascii="仿宋" w:hAnsi="仿宋" w:eastAsia="仿宋" w:cs="仿宋"/>
          <w:color w:val="000000"/>
          <w:sz w:val="32"/>
          <w:szCs w:val="32"/>
          <w:highlight w:val="none"/>
          <w:lang w:eastAsia="zh-CN"/>
        </w:rPr>
        <w:t>文物保护专项资金项目现场绩效评价</w:t>
      </w:r>
      <w:r>
        <w:rPr>
          <w:rFonts w:hint="eastAsia" w:ascii="仿宋" w:hAnsi="仿宋" w:eastAsia="仿宋" w:cs="仿宋"/>
          <w:color w:val="000000"/>
          <w:sz w:val="32"/>
          <w:szCs w:val="32"/>
          <w:highlight w:val="none"/>
        </w:rPr>
        <w:t>工作</w:t>
      </w:r>
      <w:r>
        <w:rPr>
          <w:rFonts w:hint="eastAsia" w:ascii="仿宋" w:hAnsi="仿宋" w:eastAsia="仿宋" w:cs="仿宋"/>
          <w:color w:val="000000"/>
          <w:sz w:val="32"/>
          <w:szCs w:val="32"/>
          <w:highlight w:val="none"/>
          <w:lang w:val="en-US" w:eastAsia="zh-CN"/>
        </w:rPr>
        <w:t>550</w:t>
      </w:r>
      <w:r>
        <w:rPr>
          <w:rFonts w:hint="eastAsia" w:ascii="仿宋" w:hAnsi="仿宋" w:eastAsia="仿宋" w:cs="仿宋"/>
          <w:color w:val="000000"/>
          <w:sz w:val="32"/>
          <w:szCs w:val="32"/>
          <w:highlight w:val="none"/>
        </w:rPr>
        <w:t>元；</w:t>
      </w:r>
      <w:r>
        <w:rPr>
          <w:rFonts w:hint="eastAsia" w:ascii="仿宋" w:hAnsi="仿宋" w:eastAsia="仿宋" w:cs="仿宋"/>
          <w:color w:val="000000"/>
          <w:sz w:val="32"/>
          <w:szCs w:val="32"/>
          <w:highlight w:val="none"/>
          <w:lang w:eastAsia="zh-CN"/>
        </w:rPr>
        <w:t>四川博物院到我馆点交借展文物</w:t>
      </w:r>
      <w:r>
        <w:rPr>
          <w:rFonts w:hint="eastAsia" w:ascii="仿宋" w:hAnsi="仿宋" w:eastAsia="仿宋" w:cs="仿宋"/>
          <w:color w:val="000000"/>
          <w:sz w:val="32"/>
          <w:szCs w:val="32"/>
          <w:highlight w:val="none"/>
          <w:lang w:val="en-US" w:eastAsia="zh-CN"/>
        </w:rPr>
        <w:t>420元</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lang w:eastAsia="zh-CN"/>
        </w:rPr>
        <w:t>汉中博物馆来我馆学习交流</w:t>
      </w:r>
      <w:r>
        <w:rPr>
          <w:rFonts w:hint="eastAsia" w:ascii="仿宋" w:hAnsi="仿宋" w:eastAsia="仿宋" w:cs="仿宋"/>
          <w:color w:val="000000"/>
          <w:sz w:val="32"/>
          <w:szCs w:val="32"/>
          <w:highlight w:val="none"/>
          <w:lang w:val="en-US" w:eastAsia="zh-CN"/>
        </w:rPr>
        <w:t>950元；广安博物馆归还借展文物463元。</w:t>
      </w:r>
    </w:p>
    <w:p>
      <w:pPr>
        <w:keepNext/>
        <w:keepLines/>
        <w:spacing w:line="576" w:lineRule="exact"/>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外事接待支出0万元。</w:t>
      </w:r>
    </w:p>
    <w:p>
      <w:pPr>
        <w:spacing w:line="576" w:lineRule="exact"/>
        <w:ind w:firstLine="640" w:firstLineChars="200"/>
        <w:outlineLvl w:val="1"/>
        <w:rPr>
          <w:rStyle w:val="17"/>
          <w:rFonts w:ascii="黑体" w:hAnsi="黑体" w:eastAsia="黑体" w:cs="黑体"/>
          <w:b w:val="0"/>
        </w:rPr>
      </w:pPr>
      <w:bookmarkStart w:id="66" w:name="_Toc14390"/>
      <w:r>
        <w:rPr>
          <w:rFonts w:hint="eastAsia" w:ascii="黑体" w:hAnsi="黑体" w:eastAsia="黑体" w:cs="黑体"/>
          <w:bCs/>
          <w:sz w:val="32"/>
          <w:szCs w:val="32"/>
        </w:rPr>
        <w:t>八、</w:t>
      </w:r>
      <w:r>
        <w:rPr>
          <w:rStyle w:val="17"/>
          <w:rFonts w:hint="eastAsia" w:ascii="黑体" w:hAnsi="黑体" w:eastAsia="黑体" w:cs="黑体"/>
          <w:b w:val="0"/>
        </w:rPr>
        <w:t>政府性基金预算支出决算情况说明</w:t>
      </w:r>
      <w:bookmarkEnd w:id="64"/>
      <w:bookmarkEnd w:id="65"/>
      <w:bookmarkEnd w:id="66"/>
    </w:p>
    <w:p>
      <w:pPr>
        <w:spacing w:line="576"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年政府性基金预算拨款支出0万元。</w:t>
      </w:r>
    </w:p>
    <w:p>
      <w:pPr>
        <w:spacing w:line="576" w:lineRule="exact"/>
        <w:ind w:firstLine="640" w:firstLineChars="200"/>
        <w:outlineLvl w:val="1"/>
        <w:rPr>
          <w:rStyle w:val="17"/>
          <w:rFonts w:ascii="仿宋" w:hAnsi="仿宋" w:eastAsia="仿宋" w:cs="仿宋"/>
          <w:b w:val="0"/>
        </w:rPr>
      </w:pPr>
      <w:bookmarkStart w:id="67" w:name="_Toc15377219"/>
      <w:bookmarkStart w:id="68" w:name="_Toc15383"/>
      <w:bookmarkStart w:id="69" w:name="_Toc15396611"/>
      <w:r>
        <w:rPr>
          <w:rStyle w:val="17"/>
          <w:rFonts w:hint="eastAsia" w:ascii="黑体" w:hAnsi="黑体" w:eastAsia="黑体" w:cs="黑体"/>
          <w:b w:val="0"/>
        </w:rPr>
        <w:t>九、国有资本经营预算支出决算情况说明</w:t>
      </w:r>
      <w:bookmarkEnd w:id="67"/>
      <w:bookmarkEnd w:id="68"/>
      <w:bookmarkEnd w:id="6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年国有资本经营预算财政拨款支出0万元。</w:t>
      </w:r>
    </w:p>
    <w:p>
      <w:pPr>
        <w:keepNext w:val="0"/>
        <w:keepLines w:val="0"/>
        <w:pageBreakBefore w:val="0"/>
        <w:widowControl w:val="0"/>
        <w:numPr>
          <w:ilvl w:val="0"/>
          <w:numId w:val="4"/>
        </w:numPr>
        <w:kinsoku/>
        <w:wordWrap/>
        <w:overflowPunct/>
        <w:topLinePunct w:val="0"/>
        <w:autoSpaceDE/>
        <w:autoSpaceDN/>
        <w:bidi w:val="0"/>
        <w:adjustRightInd/>
        <w:snapToGrid/>
        <w:spacing w:line="576" w:lineRule="exact"/>
        <w:ind w:firstLine="640" w:firstLineChars="200"/>
        <w:textAlignment w:val="auto"/>
        <w:outlineLvl w:val="1"/>
        <w:rPr>
          <w:rFonts w:hint="eastAsia" w:ascii="黑体" w:hAnsi="黑体" w:eastAsia="黑体" w:cs="黑体"/>
          <w:sz w:val="32"/>
          <w:szCs w:val="32"/>
        </w:rPr>
      </w:pPr>
      <w:bookmarkStart w:id="70" w:name="_Toc25947"/>
      <w:r>
        <w:rPr>
          <w:rFonts w:hint="eastAsia" w:ascii="黑体" w:hAnsi="黑体" w:eastAsia="黑体" w:cs="黑体"/>
          <w:sz w:val="32"/>
          <w:szCs w:val="32"/>
        </w:rPr>
        <w:t>其他重要事项的情况说明</w:t>
      </w:r>
      <w:bookmarkEnd w:id="70"/>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ascii="楷体" w:hAnsi="楷体" w:eastAsia="楷体" w:cs="楷体"/>
          <w:bCs/>
          <w:color w:val="000000"/>
          <w:sz w:val="32"/>
          <w:szCs w:val="32"/>
        </w:rPr>
      </w:pPr>
      <w:r>
        <w:rPr>
          <w:rFonts w:hint="eastAsia" w:ascii="楷体" w:hAnsi="楷体" w:eastAsia="楷体" w:cs="楷体"/>
          <w:bCs/>
          <w:color w:val="000000"/>
          <w:sz w:val="32"/>
          <w:szCs w:val="32"/>
        </w:rPr>
        <w:t>（</w:t>
      </w:r>
      <w:r>
        <w:rPr>
          <w:rFonts w:hint="eastAsia" w:ascii="楷体" w:hAnsi="楷体" w:eastAsia="楷体" w:cs="楷体"/>
          <w:b w:val="0"/>
          <w:bCs/>
          <w:color w:val="000000"/>
          <w:sz w:val="32"/>
          <w:szCs w:val="32"/>
        </w:rPr>
        <w:t>一）机关运行经费支出情况</w:t>
      </w:r>
    </w:p>
    <w:p>
      <w:pPr>
        <w:spacing w:line="576"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年，广元市博物馆机关运行经费支出0万元。</w:t>
      </w:r>
    </w:p>
    <w:p>
      <w:pPr>
        <w:keepNext/>
        <w:keepLines/>
        <w:spacing w:line="576" w:lineRule="exact"/>
        <w:ind w:firstLine="640" w:firstLineChars="200"/>
        <w:rPr>
          <w:rFonts w:ascii="楷体" w:hAnsi="楷体" w:eastAsia="楷体" w:cs="楷体"/>
          <w:bCs/>
          <w:color w:val="000000"/>
          <w:sz w:val="32"/>
          <w:szCs w:val="32"/>
        </w:rPr>
      </w:pPr>
      <w:r>
        <w:rPr>
          <w:rFonts w:hint="eastAsia" w:ascii="楷体" w:hAnsi="楷体" w:eastAsia="楷体" w:cs="楷体"/>
          <w:bCs/>
          <w:color w:val="000000"/>
          <w:sz w:val="32"/>
          <w:szCs w:val="32"/>
        </w:rPr>
        <w:t>（二）政府采购支出情况</w:t>
      </w:r>
    </w:p>
    <w:p>
      <w:pPr>
        <w:spacing w:line="576"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20</w:t>
      </w:r>
      <w:r>
        <w:rPr>
          <w:rFonts w:hint="eastAsia" w:ascii="仿宋" w:hAnsi="仿宋" w:eastAsia="仿宋" w:cs="仿宋"/>
          <w:color w:val="000000"/>
          <w:sz w:val="32"/>
          <w:szCs w:val="32"/>
          <w:highlight w:val="none"/>
        </w:rPr>
        <w:t>2</w:t>
      </w:r>
      <w:r>
        <w:rPr>
          <w:rFonts w:hint="eastAsia" w:ascii="仿宋" w:hAnsi="仿宋" w:eastAsia="仿宋" w:cs="仿宋"/>
          <w:color w:val="000000"/>
          <w:sz w:val="32"/>
          <w:szCs w:val="32"/>
          <w:highlight w:val="none"/>
          <w:lang w:val="en-US" w:eastAsia="zh-CN"/>
        </w:rPr>
        <w:t>4</w:t>
      </w:r>
      <w:r>
        <w:rPr>
          <w:rFonts w:hint="eastAsia" w:ascii="仿宋" w:hAnsi="仿宋" w:eastAsia="仿宋" w:cs="仿宋"/>
          <w:color w:val="000000"/>
          <w:sz w:val="32"/>
          <w:szCs w:val="32"/>
          <w:highlight w:val="none"/>
        </w:rPr>
        <w:t>年，广元市博物馆政府采购支出总额95万元，其中：</w:t>
      </w:r>
      <w:bookmarkStart w:id="101" w:name="_GoBack"/>
      <w:bookmarkEnd w:id="101"/>
      <w:r>
        <w:rPr>
          <w:rFonts w:hint="eastAsia" w:ascii="仿宋" w:hAnsi="仿宋" w:eastAsia="仿宋" w:cs="仿宋"/>
          <w:color w:val="000000"/>
          <w:sz w:val="32"/>
          <w:szCs w:val="32"/>
          <w:highlight w:val="none"/>
        </w:rPr>
        <w:t>政府采购服务支出95万元。主要用于劳务派遣人员工资、保险、管理费等。授予中小企业合同金额95万元，占政府采购支出总额的100%，其中：授予小微企业合同</w:t>
      </w:r>
      <w:r>
        <w:rPr>
          <w:rFonts w:hint="eastAsia" w:ascii="仿宋" w:hAnsi="仿宋" w:eastAsia="仿宋" w:cs="仿宋"/>
          <w:color w:val="000000"/>
          <w:sz w:val="32"/>
          <w:szCs w:val="32"/>
        </w:rPr>
        <w:t>金额95万元，</w:t>
      </w:r>
      <w:r>
        <w:rPr>
          <w:rFonts w:hint="eastAsia" w:ascii="仿宋" w:hAnsi="仿宋" w:eastAsia="仿宋" w:cs="仿宋"/>
          <w:sz w:val="32"/>
          <w:szCs w:val="32"/>
        </w:rPr>
        <w:t>占政府采购支出总额的</w:t>
      </w:r>
      <w:r>
        <w:rPr>
          <w:rFonts w:hint="eastAsia" w:ascii="仿宋" w:hAnsi="仿宋" w:eastAsia="仿宋" w:cs="仿宋"/>
          <w:color w:val="000000"/>
          <w:sz w:val="32"/>
          <w:szCs w:val="32"/>
        </w:rPr>
        <w:t>100%。</w:t>
      </w:r>
    </w:p>
    <w:p>
      <w:pPr>
        <w:keepNext/>
        <w:keepLines/>
        <w:spacing w:line="576" w:lineRule="exact"/>
        <w:ind w:firstLine="640" w:firstLineChars="200"/>
        <w:rPr>
          <w:rFonts w:ascii="楷体" w:hAnsi="楷体" w:eastAsia="楷体" w:cs="楷体"/>
          <w:bCs/>
          <w:color w:val="000000"/>
          <w:sz w:val="32"/>
          <w:szCs w:val="32"/>
        </w:rPr>
      </w:pPr>
      <w:r>
        <w:rPr>
          <w:rFonts w:hint="eastAsia" w:ascii="楷体" w:hAnsi="楷体" w:eastAsia="楷体" w:cs="楷体"/>
          <w:bCs/>
          <w:color w:val="000000"/>
          <w:sz w:val="32"/>
          <w:szCs w:val="32"/>
        </w:rPr>
        <w:t>（三）国有资产占有使用情况</w:t>
      </w:r>
    </w:p>
    <w:p>
      <w:pPr>
        <w:autoSpaceDE w:val="0"/>
        <w:autoSpaceDN w:val="0"/>
        <w:adjustRightInd w:val="0"/>
        <w:spacing w:line="576" w:lineRule="exact"/>
        <w:ind w:firstLine="640" w:firstLineChars="200"/>
        <w:jc w:val="left"/>
        <w:outlineLvl w:val="2"/>
        <w:rPr>
          <w:rFonts w:ascii="仿宋" w:hAnsi="仿宋" w:eastAsia="仿宋" w:cs="仿宋"/>
          <w:b/>
          <w:bCs/>
          <w:color w:val="000000"/>
          <w:sz w:val="32"/>
          <w:szCs w:val="32"/>
        </w:rPr>
      </w:pPr>
      <w:bookmarkStart w:id="71" w:name="_Toc5260"/>
      <w:r>
        <w:rPr>
          <w:rFonts w:hint="eastAsia" w:ascii="仿宋" w:hAnsi="仿宋" w:eastAsia="仿宋" w:cs="仿宋"/>
          <w:color w:val="000000"/>
          <w:sz w:val="32"/>
          <w:szCs w:val="32"/>
        </w:rPr>
        <w:t>截至202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年12月31日，广元市博物馆共有车辆1辆，其中：其他用车1辆。其他用车主要是用于市内办事、考古调查、文物保护等。单价100万元以上专用设备0台（套）。</w:t>
      </w:r>
      <w:bookmarkEnd w:id="71"/>
    </w:p>
    <w:p>
      <w:pPr>
        <w:keepNext/>
        <w:keepLines/>
        <w:spacing w:line="576" w:lineRule="exact"/>
        <w:ind w:firstLine="640" w:firstLineChars="200"/>
        <w:rPr>
          <w:rFonts w:ascii="楷体" w:hAnsi="楷体" w:eastAsia="楷体" w:cs="楷体"/>
          <w:bCs/>
          <w:color w:val="000000"/>
          <w:sz w:val="32"/>
          <w:szCs w:val="32"/>
        </w:rPr>
      </w:pPr>
      <w:r>
        <w:rPr>
          <w:rFonts w:hint="eastAsia" w:ascii="楷体" w:hAnsi="楷体" w:eastAsia="楷体" w:cs="楷体"/>
          <w:bCs/>
          <w:color w:val="000000"/>
          <w:sz w:val="32"/>
          <w:szCs w:val="32"/>
        </w:rPr>
        <w:t>（四）预算绩效管理情况</w:t>
      </w:r>
    </w:p>
    <w:p>
      <w:pPr>
        <w:spacing w:line="576" w:lineRule="exact"/>
        <w:ind w:firstLine="640" w:firstLineChars="200"/>
        <w:rPr>
          <w:rFonts w:asciiTheme="majorEastAsia" w:hAnsiTheme="majorEastAsia" w:eastAsiaTheme="majorEastAsia" w:cstheme="majorEastAsia"/>
          <w:b/>
          <w:bCs/>
          <w:color w:val="000000"/>
          <w:sz w:val="44"/>
          <w:szCs w:val="44"/>
        </w:rPr>
      </w:pPr>
      <w:r>
        <w:rPr>
          <w:rFonts w:hint="eastAsia" w:ascii="仿宋" w:hAnsi="仿宋" w:eastAsia="仿宋" w:cs="仿宋"/>
          <w:bCs/>
          <w:sz w:val="32"/>
          <w:szCs w:val="32"/>
        </w:rPr>
        <w:t>根据</w:t>
      </w:r>
      <w:r>
        <w:rPr>
          <w:rFonts w:hint="eastAsia" w:ascii="仿宋" w:hAnsi="仿宋" w:eastAsia="仿宋" w:cs="仿宋"/>
          <w:sz w:val="32"/>
          <w:szCs w:val="32"/>
        </w:rPr>
        <w:t>预算绩效管理要求，我馆在202</w:t>
      </w:r>
      <w:r>
        <w:rPr>
          <w:rFonts w:hint="eastAsia" w:ascii="仿宋" w:hAnsi="仿宋" w:eastAsia="仿宋" w:cs="仿宋"/>
          <w:sz w:val="32"/>
          <w:szCs w:val="32"/>
          <w:lang w:val="en-US" w:eastAsia="zh-CN"/>
        </w:rPr>
        <w:t>4</w:t>
      </w:r>
      <w:r>
        <w:rPr>
          <w:rFonts w:hint="eastAsia" w:ascii="仿宋" w:hAnsi="仿宋" w:eastAsia="仿宋" w:cs="仿宋"/>
          <w:sz w:val="32"/>
          <w:szCs w:val="32"/>
        </w:rPr>
        <w:t>年度预算编制阶段，组织对博物馆纪念馆免费开放、临时展览、运行维护</w:t>
      </w:r>
      <w:r>
        <w:rPr>
          <w:rFonts w:hint="eastAsia" w:ascii="仿宋" w:hAnsi="仿宋" w:eastAsia="仿宋" w:cs="仿宋"/>
          <w:sz w:val="32"/>
          <w:szCs w:val="32"/>
          <w:lang w:val="en-US" w:eastAsia="zh-CN"/>
        </w:rPr>
        <w:t>13</w:t>
      </w:r>
      <w:r>
        <w:rPr>
          <w:rFonts w:hint="eastAsia" w:ascii="仿宋" w:hAnsi="仿宋" w:eastAsia="仿宋" w:cs="仿宋"/>
          <w:sz w:val="32"/>
          <w:szCs w:val="32"/>
        </w:rPr>
        <w:t>个项目开展了预算事前绩效评估，对</w:t>
      </w:r>
      <w:r>
        <w:rPr>
          <w:rFonts w:hint="eastAsia" w:ascii="仿宋" w:hAnsi="仿宋" w:eastAsia="仿宋" w:cs="仿宋"/>
          <w:sz w:val="32"/>
          <w:szCs w:val="32"/>
          <w:lang w:val="en-US" w:eastAsia="zh-CN"/>
        </w:rPr>
        <w:t>13</w:t>
      </w:r>
      <w:r>
        <w:rPr>
          <w:rFonts w:hint="eastAsia" w:ascii="仿宋" w:hAnsi="仿宋" w:eastAsia="仿宋" w:cs="仿宋"/>
          <w:sz w:val="32"/>
          <w:szCs w:val="32"/>
        </w:rPr>
        <w:t>个项目编制了绩效目标，评估编制了绩效 ，制定明确的用途和目标及详细的执行计划，资金到位及时并严格按照财政有关规定使用。预算决策、管理、执行等日益规范，能较好地满足工作需要，取得了良好社会效益。年终执行完毕后，对</w:t>
      </w:r>
      <w:r>
        <w:rPr>
          <w:rFonts w:hint="eastAsia" w:ascii="仿宋" w:hAnsi="仿宋" w:eastAsia="仿宋" w:cs="仿宋"/>
          <w:sz w:val="32"/>
          <w:szCs w:val="32"/>
          <w:lang w:val="en-US" w:eastAsia="zh-CN"/>
        </w:rPr>
        <w:t>13</w:t>
      </w:r>
      <w:r>
        <w:rPr>
          <w:rFonts w:hint="eastAsia" w:ascii="仿宋" w:hAnsi="仿宋" w:eastAsia="仿宋" w:cs="仿宋"/>
          <w:sz w:val="32"/>
          <w:szCs w:val="32"/>
        </w:rPr>
        <w:t>个项目开展绩效自评，202</w:t>
      </w:r>
      <w:r>
        <w:rPr>
          <w:rFonts w:hint="eastAsia" w:ascii="仿宋" w:hAnsi="仿宋" w:eastAsia="仿宋" w:cs="仿宋"/>
          <w:sz w:val="32"/>
          <w:szCs w:val="32"/>
          <w:lang w:val="en-US" w:eastAsia="zh-CN"/>
        </w:rPr>
        <w:t>4</w:t>
      </w:r>
      <w:r>
        <w:rPr>
          <w:rFonts w:hint="eastAsia" w:ascii="仿宋" w:hAnsi="仿宋" w:eastAsia="仿宋" w:cs="仿宋"/>
          <w:sz w:val="32"/>
          <w:szCs w:val="32"/>
        </w:rPr>
        <w:t>年预算项目自评表见附件（第四部分）。</w:t>
      </w:r>
      <w:bookmarkStart w:id="72" w:name="_Toc15396614"/>
      <w:bookmarkStart w:id="73" w:name="_Toc15377226"/>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Fonts w:hint="eastAsia" w:asciiTheme="majorEastAsia" w:hAnsiTheme="majorEastAsia" w:eastAsiaTheme="majorEastAsia" w:cstheme="majorEastAsia"/>
          <w:b/>
          <w:bCs/>
          <w:color w:val="000000"/>
          <w:sz w:val="44"/>
          <w:szCs w:val="44"/>
        </w:rPr>
      </w:pPr>
      <w:bookmarkStart w:id="74" w:name="_Toc4613"/>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Fonts w:hint="eastAsia" w:asciiTheme="majorEastAsia" w:hAnsiTheme="majorEastAsia" w:eastAsiaTheme="majorEastAsia" w:cstheme="majorEastAsia"/>
          <w:b/>
          <w:bCs/>
          <w:color w:val="000000"/>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Fonts w:hint="eastAsia" w:asciiTheme="majorEastAsia" w:hAnsiTheme="majorEastAsia" w:eastAsiaTheme="majorEastAsia" w:cstheme="majorEastAsia"/>
          <w:b/>
          <w:bCs/>
          <w:color w:val="000000"/>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Fonts w:hint="eastAsia" w:asciiTheme="majorEastAsia" w:hAnsiTheme="majorEastAsia" w:eastAsiaTheme="majorEastAsia" w:cstheme="majorEastAsia"/>
          <w:b/>
          <w:bCs/>
          <w:color w:val="000000"/>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Fonts w:hint="eastAsia" w:asciiTheme="majorEastAsia" w:hAnsiTheme="majorEastAsia" w:eastAsiaTheme="majorEastAsia" w:cstheme="majorEastAsia"/>
          <w:b/>
          <w:bCs/>
          <w:color w:val="000000"/>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Fonts w:hint="eastAsia" w:asciiTheme="majorEastAsia" w:hAnsiTheme="majorEastAsia" w:eastAsiaTheme="majorEastAsia" w:cstheme="majorEastAsia"/>
          <w:b/>
          <w:bCs/>
          <w:color w:val="000000"/>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Style w:val="30"/>
          <w:rFonts w:ascii="华文仿宋" w:hAnsi="华文仿宋" w:eastAsia="华文仿宋"/>
          <w:b w:val="0"/>
          <w:sz w:val="44"/>
          <w:szCs w:val="44"/>
        </w:rPr>
      </w:pPr>
      <w:r>
        <w:rPr>
          <w:rFonts w:hint="eastAsia" w:asciiTheme="majorEastAsia" w:hAnsiTheme="majorEastAsia" w:eastAsiaTheme="majorEastAsia" w:cstheme="majorEastAsia"/>
          <w:b/>
          <w:bCs/>
          <w:color w:val="000000"/>
          <w:sz w:val="44"/>
          <w:szCs w:val="44"/>
        </w:rPr>
        <w:t>第三部分</w:t>
      </w:r>
      <w:r>
        <w:rPr>
          <w:rFonts w:hint="eastAsia" w:asciiTheme="majorEastAsia" w:hAnsiTheme="majorEastAsia" w:eastAsiaTheme="majorEastAsia" w:cstheme="majorEastAsia"/>
          <w:b/>
          <w:bCs/>
          <w:color w:val="000000"/>
          <w:sz w:val="44"/>
          <w:szCs w:val="44"/>
          <w:lang w:val="en-US" w:eastAsia="zh-CN"/>
        </w:rPr>
        <w:t xml:space="preserve">  </w:t>
      </w:r>
      <w:r>
        <w:rPr>
          <w:rFonts w:hint="eastAsia" w:asciiTheme="majorEastAsia" w:hAnsiTheme="majorEastAsia" w:eastAsiaTheme="majorEastAsia" w:cstheme="majorEastAsia"/>
          <w:b/>
          <w:bCs/>
          <w:color w:val="000000"/>
          <w:sz w:val="44"/>
          <w:szCs w:val="44"/>
        </w:rPr>
        <w:t>名</w:t>
      </w:r>
      <w:r>
        <w:rPr>
          <w:rStyle w:val="30"/>
          <w:rFonts w:hint="eastAsia" w:asciiTheme="majorEastAsia" w:hAnsiTheme="majorEastAsia" w:eastAsiaTheme="majorEastAsia" w:cstheme="majorEastAsia"/>
          <w:bCs/>
          <w:sz w:val="44"/>
          <w:szCs w:val="44"/>
        </w:rPr>
        <w:t>词解释</w:t>
      </w:r>
      <w:bookmarkEnd w:id="74"/>
    </w:p>
    <w:p>
      <w:pPr>
        <w:spacing w:line="576" w:lineRule="exact"/>
        <w:ind w:firstLine="640" w:firstLineChars="200"/>
        <w:rPr>
          <w:rFonts w:ascii="华文仿宋" w:hAnsi="华文仿宋" w:eastAsia="华文仿宋"/>
          <w:sz w:val="32"/>
          <w:szCs w:val="32"/>
        </w:rPr>
      </w:pP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jc w:val="both"/>
        <w:textAlignment w:val="auto"/>
        <w:outlineLvl w:val="1"/>
        <w:rPr>
          <w:rFonts w:ascii="仿宋" w:hAnsi="仿宋" w:eastAsia="仿宋" w:cs="仿宋"/>
          <w:b w:val="0"/>
          <w:bCs w:val="0"/>
          <w:sz w:val="32"/>
          <w:szCs w:val="32"/>
        </w:rPr>
      </w:pPr>
      <w:bookmarkStart w:id="75" w:name="_Toc32016"/>
      <w:r>
        <w:rPr>
          <w:rFonts w:hint="eastAsia" w:ascii="黑体" w:hAnsi="黑体" w:eastAsia="黑体" w:cs="黑体"/>
          <w:b w:val="0"/>
          <w:bCs w:val="0"/>
          <w:sz w:val="32"/>
          <w:szCs w:val="32"/>
        </w:rPr>
        <w:t>财政拨款收入</w:t>
      </w:r>
      <w:r>
        <w:rPr>
          <w:rFonts w:hint="eastAsia" w:ascii="黑体" w:hAnsi="黑体" w:eastAsia="黑体" w:cs="黑体"/>
          <w:b w:val="0"/>
          <w:bCs w:val="0"/>
          <w:sz w:val="32"/>
          <w:szCs w:val="32"/>
          <w:lang w:eastAsia="zh-CN"/>
        </w:rPr>
        <w:t>。</w:t>
      </w:r>
      <w:r>
        <w:rPr>
          <w:rFonts w:hint="eastAsia" w:ascii="仿宋" w:hAnsi="仿宋" w:eastAsia="仿宋" w:cs="仿宋"/>
          <w:b w:val="0"/>
          <w:bCs w:val="0"/>
          <w:sz w:val="32"/>
          <w:szCs w:val="32"/>
        </w:rPr>
        <w:t>指单位从同级财政部门取得的财政预算资金。</w:t>
      </w:r>
      <w:bookmarkEnd w:id="75"/>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jc w:val="both"/>
        <w:textAlignment w:val="auto"/>
        <w:outlineLvl w:val="1"/>
        <w:rPr>
          <w:rFonts w:ascii="仿宋" w:hAnsi="仿宋" w:eastAsia="仿宋" w:cs="仿宋"/>
          <w:b w:val="0"/>
          <w:bCs w:val="0"/>
          <w:sz w:val="32"/>
          <w:szCs w:val="32"/>
        </w:rPr>
      </w:pPr>
      <w:r>
        <w:rPr>
          <w:rFonts w:hint="eastAsia" w:ascii="黑体" w:hAnsi="黑体" w:eastAsia="黑体" w:cs="黑体"/>
          <w:b w:val="0"/>
          <w:bCs w:val="0"/>
          <w:sz w:val="32"/>
          <w:szCs w:val="32"/>
        </w:rPr>
        <w:t>其他收入：</w:t>
      </w:r>
      <w:r>
        <w:rPr>
          <w:rFonts w:hint="eastAsia" w:ascii="仿宋" w:hAnsi="仿宋" w:eastAsia="仿宋" w:cs="仿宋"/>
          <w:b w:val="0"/>
          <w:bCs w:val="0"/>
          <w:sz w:val="32"/>
          <w:szCs w:val="32"/>
        </w:rPr>
        <w:t>指单位取得的除上述收入以外的各项收入。主要是场地租用单位所付的设备运维费、举办群众文化活动演出收入、利息收入等。</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jc w:val="both"/>
        <w:textAlignment w:val="auto"/>
        <w:rPr>
          <w:rFonts w:ascii="仿宋" w:hAnsi="仿宋" w:eastAsia="仿宋" w:cs="仿宋"/>
          <w:b w:val="0"/>
          <w:bCs w:val="0"/>
          <w:sz w:val="32"/>
          <w:szCs w:val="32"/>
        </w:rPr>
      </w:pPr>
      <w:r>
        <w:rPr>
          <w:rFonts w:hint="eastAsia" w:ascii="黑体" w:hAnsi="黑体" w:eastAsia="黑体" w:cs="黑体"/>
          <w:b w:val="0"/>
          <w:bCs w:val="0"/>
          <w:sz w:val="32"/>
          <w:szCs w:val="32"/>
        </w:rPr>
        <w:t>年初结转和结余</w:t>
      </w:r>
      <w:r>
        <w:rPr>
          <w:rFonts w:hint="eastAsia" w:ascii="黑体" w:hAnsi="黑体" w:eastAsia="黑体" w:cs="黑体"/>
          <w:b w:val="0"/>
          <w:bCs w:val="0"/>
          <w:sz w:val="32"/>
          <w:szCs w:val="32"/>
          <w:lang w:eastAsia="zh-CN"/>
        </w:rPr>
        <w:t>。</w:t>
      </w:r>
      <w:r>
        <w:rPr>
          <w:rFonts w:hint="eastAsia" w:ascii="仿宋" w:hAnsi="仿宋" w:eastAsia="仿宋" w:cs="仿宋"/>
          <w:b w:val="0"/>
          <w:bCs w:val="0"/>
          <w:sz w:val="32"/>
          <w:szCs w:val="32"/>
        </w:rPr>
        <w:t>指以前年度尚未完成、结转到本年按有关规定继续使用的资金。</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jc w:val="both"/>
        <w:textAlignment w:val="auto"/>
        <w:rPr>
          <w:rFonts w:ascii="仿宋" w:hAnsi="仿宋" w:eastAsia="仿宋" w:cs="仿宋"/>
          <w:b w:val="0"/>
          <w:bCs w:val="0"/>
          <w:sz w:val="32"/>
          <w:szCs w:val="32"/>
        </w:rPr>
      </w:pPr>
      <w:r>
        <w:rPr>
          <w:rFonts w:hint="eastAsia" w:ascii="黑体" w:hAnsi="黑体" w:eastAsia="黑体" w:cs="黑体"/>
          <w:b w:val="0"/>
          <w:bCs w:val="0"/>
          <w:sz w:val="32"/>
          <w:szCs w:val="32"/>
        </w:rPr>
        <w:t>年末结转和结余</w:t>
      </w:r>
      <w:r>
        <w:rPr>
          <w:rFonts w:hint="eastAsia" w:ascii="黑体" w:hAnsi="黑体" w:eastAsia="黑体" w:cs="黑体"/>
          <w:b w:val="0"/>
          <w:bCs w:val="0"/>
          <w:sz w:val="32"/>
          <w:szCs w:val="32"/>
          <w:lang w:eastAsia="zh-CN"/>
        </w:rPr>
        <w:t>。</w:t>
      </w:r>
      <w:r>
        <w:rPr>
          <w:rFonts w:hint="eastAsia" w:ascii="仿宋" w:hAnsi="仿宋" w:eastAsia="仿宋" w:cs="仿宋"/>
          <w:b w:val="0"/>
          <w:bCs w:val="0"/>
          <w:sz w:val="32"/>
          <w:szCs w:val="32"/>
        </w:rPr>
        <w:t>指单位按有关规定结转到下年或以后年度继续使用的资金。</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jc w:val="both"/>
        <w:textAlignment w:val="auto"/>
        <w:rPr>
          <w:rFonts w:ascii="仿宋" w:hAnsi="仿宋" w:eastAsia="仿宋" w:cs="仿宋"/>
          <w:b w:val="0"/>
          <w:bCs w:val="0"/>
          <w:sz w:val="32"/>
          <w:szCs w:val="32"/>
        </w:rPr>
      </w:pPr>
      <w:r>
        <w:rPr>
          <w:rFonts w:hint="eastAsia" w:ascii="黑体" w:hAnsi="黑体" w:eastAsia="黑体" w:cs="黑体"/>
          <w:b w:val="0"/>
          <w:bCs w:val="0"/>
          <w:sz w:val="32"/>
          <w:szCs w:val="32"/>
        </w:rPr>
        <w:t>文化旅游体育与传媒支出（类）文物（款）博物馆（项）支出</w:t>
      </w:r>
      <w:r>
        <w:rPr>
          <w:rFonts w:hint="eastAsia" w:ascii="黑体" w:hAnsi="黑体" w:eastAsia="黑体" w:cs="黑体"/>
          <w:b w:val="0"/>
          <w:bCs w:val="0"/>
          <w:sz w:val="32"/>
          <w:szCs w:val="32"/>
          <w:lang w:eastAsia="zh-CN"/>
        </w:rPr>
        <w:t>。</w:t>
      </w:r>
      <w:r>
        <w:rPr>
          <w:rFonts w:hint="eastAsia" w:ascii="仿宋" w:hAnsi="仿宋" w:eastAsia="仿宋" w:cs="仿宋"/>
          <w:b w:val="0"/>
          <w:bCs w:val="0"/>
          <w:sz w:val="32"/>
          <w:szCs w:val="32"/>
        </w:rPr>
        <w:t>反映免费开放、临时展览、运行维护</w:t>
      </w:r>
      <w:r>
        <w:rPr>
          <w:rFonts w:hint="eastAsia" w:ascii="仿宋" w:hAnsi="仿宋" w:eastAsia="仿宋" w:cs="仿宋"/>
          <w:b w:val="0"/>
          <w:bCs w:val="0"/>
          <w:sz w:val="32"/>
          <w:szCs w:val="32"/>
          <w:lang w:eastAsia="zh-CN"/>
        </w:rPr>
        <w:t>、</w:t>
      </w:r>
      <w:r>
        <w:rPr>
          <w:rFonts w:hint="eastAsia" w:ascii="仿宋" w:hAnsi="仿宋" w:eastAsia="仿宋" w:cs="仿宋"/>
          <w:b w:val="0"/>
          <w:bCs w:val="0"/>
          <w:color w:val="000000"/>
          <w:sz w:val="32"/>
          <w:szCs w:val="32"/>
        </w:rPr>
        <w:t>广元窑精品文物陈列展</w:t>
      </w:r>
      <w:r>
        <w:rPr>
          <w:rFonts w:hint="eastAsia" w:ascii="仿宋" w:hAnsi="仿宋" w:eastAsia="仿宋" w:cs="仿宋"/>
          <w:b w:val="0"/>
          <w:bCs w:val="0"/>
          <w:sz w:val="32"/>
          <w:szCs w:val="32"/>
        </w:rPr>
        <w:t>方面的支出。</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jc w:val="both"/>
        <w:textAlignment w:val="auto"/>
        <w:rPr>
          <w:rFonts w:ascii="仿宋" w:hAnsi="仿宋" w:eastAsia="仿宋" w:cs="仿宋"/>
          <w:b w:val="0"/>
          <w:bCs w:val="0"/>
          <w:sz w:val="32"/>
          <w:szCs w:val="32"/>
        </w:rPr>
      </w:pPr>
      <w:r>
        <w:rPr>
          <w:rFonts w:hint="eastAsia" w:ascii="黑体" w:hAnsi="黑体" w:eastAsia="黑体" w:cs="黑体"/>
          <w:b w:val="0"/>
          <w:bCs w:val="0"/>
          <w:sz w:val="32"/>
          <w:szCs w:val="32"/>
        </w:rPr>
        <w:t>社会保障和就业（类）行政事业单位养老支出（款）事业单位离退休（项）</w:t>
      </w:r>
      <w:r>
        <w:rPr>
          <w:rFonts w:hint="eastAsia" w:ascii="黑体" w:hAnsi="黑体" w:eastAsia="黑体" w:cs="黑体"/>
          <w:b w:val="0"/>
          <w:bCs w:val="0"/>
          <w:sz w:val="32"/>
          <w:szCs w:val="32"/>
          <w:lang w:eastAsia="zh-CN"/>
        </w:rPr>
        <w:t>。</w:t>
      </w:r>
      <w:r>
        <w:rPr>
          <w:rFonts w:hint="eastAsia" w:ascii="仿宋" w:hAnsi="仿宋" w:eastAsia="仿宋" w:cs="仿宋"/>
          <w:b w:val="0"/>
          <w:bCs w:val="0"/>
          <w:sz w:val="32"/>
          <w:szCs w:val="32"/>
        </w:rPr>
        <w:t>反映事业单位开支的离退休经费。</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社会保障和就业支出（类）行政事业单位养老支出（款）机关事业单位基本养老保险缴费支出（项）</w:t>
      </w:r>
      <w:r>
        <w:rPr>
          <w:rFonts w:hint="eastAsia" w:ascii="黑体" w:hAnsi="黑体" w:eastAsia="黑体" w:cs="黑体"/>
          <w:b w:val="0"/>
          <w:bCs w:val="0"/>
          <w:sz w:val="32"/>
          <w:szCs w:val="32"/>
          <w:lang w:eastAsia="zh-CN"/>
        </w:rPr>
        <w:t>。</w:t>
      </w:r>
      <w:r>
        <w:rPr>
          <w:rFonts w:hint="eastAsia" w:ascii="仿宋" w:hAnsi="仿宋" w:eastAsia="仿宋" w:cs="仿宋"/>
          <w:b w:val="0"/>
          <w:bCs w:val="0"/>
          <w:sz w:val="32"/>
          <w:szCs w:val="32"/>
        </w:rPr>
        <w:t>反映机关事业单位实施养老保险制度由单位缴纳的基本养老保险支出。</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 w:hAnsi="仿宋" w:eastAsia="仿宋" w:cs="仿宋"/>
          <w:b w:val="0"/>
          <w:bCs w:val="0"/>
          <w:color w:val="000000"/>
          <w:sz w:val="32"/>
          <w:szCs w:val="24"/>
          <w:lang w:val="en-US"/>
        </w:rPr>
      </w:pPr>
      <w:r>
        <w:rPr>
          <w:rFonts w:hint="eastAsia" w:ascii="黑体" w:hAnsi="黑体" w:eastAsia="黑体" w:cs="黑体"/>
          <w:b w:val="0"/>
          <w:bCs w:val="0"/>
          <w:color w:val="000000"/>
          <w:sz w:val="32"/>
          <w:szCs w:val="24"/>
          <w:lang w:val="zh-CN"/>
        </w:rPr>
        <w:t>社会保障和就业支出（类）行政事业单位养老支出（款）机关事业单位职业年金缴费支出（项）。</w:t>
      </w:r>
      <w:r>
        <w:rPr>
          <w:rFonts w:hint="eastAsia" w:ascii="仿宋" w:hAnsi="仿宋" w:eastAsia="仿宋" w:cs="仿宋"/>
          <w:b w:val="0"/>
          <w:bCs w:val="0"/>
          <w:color w:val="000000"/>
          <w:sz w:val="32"/>
          <w:szCs w:val="24"/>
          <w:lang w:val="zh-CN"/>
        </w:rPr>
        <w:t>反映机关事业单位实施养老保险制度由单位缴纳的职业年金缴费支出。</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 w:hAnsi="仿宋" w:eastAsia="仿宋" w:cs="仿宋"/>
          <w:b w:val="0"/>
          <w:bCs w:val="0"/>
          <w:color w:val="000000"/>
          <w:sz w:val="32"/>
          <w:szCs w:val="24"/>
          <w:lang w:val="en-US"/>
        </w:rPr>
      </w:pPr>
      <w:r>
        <w:rPr>
          <w:rFonts w:hint="default" w:ascii="黑体" w:hAnsi="黑体" w:eastAsia="黑体" w:cs="黑体"/>
          <w:b w:val="0"/>
          <w:bCs w:val="0"/>
          <w:color w:val="000000"/>
          <w:sz w:val="32"/>
          <w:szCs w:val="24"/>
          <w:lang w:val="en-US"/>
        </w:rPr>
        <w:t>社会保障和就业（类）其他社会保障和就业支出（款）其他社会保障和就业支出（项）</w:t>
      </w:r>
      <w:r>
        <w:rPr>
          <w:rFonts w:hint="eastAsia" w:ascii="黑体" w:hAnsi="黑体" w:eastAsia="黑体" w:cs="黑体"/>
          <w:b w:val="0"/>
          <w:bCs w:val="0"/>
          <w:color w:val="000000"/>
          <w:sz w:val="32"/>
          <w:szCs w:val="24"/>
          <w:lang w:val="en-US" w:eastAsia="zh-CN"/>
        </w:rPr>
        <w:t>。</w:t>
      </w:r>
      <w:r>
        <w:rPr>
          <w:rFonts w:hint="eastAsia" w:ascii="仿宋" w:hAnsi="仿宋" w:eastAsia="仿宋" w:cs="仿宋"/>
          <w:b w:val="0"/>
          <w:bCs w:val="0"/>
          <w:color w:val="000000"/>
          <w:sz w:val="32"/>
          <w:szCs w:val="24"/>
          <w:lang w:val="en-US"/>
        </w:rPr>
        <w:t>反映出上述项目以外其他用于社会保障和就业方面的支出。</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jc w:val="both"/>
        <w:textAlignment w:val="auto"/>
        <w:rPr>
          <w:rFonts w:ascii="仿宋" w:hAnsi="仿宋" w:eastAsia="仿宋" w:cs="仿宋"/>
          <w:b w:val="0"/>
          <w:bCs w:val="0"/>
          <w:sz w:val="32"/>
          <w:szCs w:val="32"/>
        </w:rPr>
      </w:pPr>
      <w:r>
        <w:rPr>
          <w:rFonts w:hint="eastAsia" w:ascii="黑体" w:hAnsi="黑体" w:eastAsia="黑体" w:cs="黑体"/>
          <w:b w:val="0"/>
          <w:bCs w:val="0"/>
          <w:sz w:val="32"/>
          <w:szCs w:val="32"/>
        </w:rPr>
        <w:t>卫生健康支出（类）行政事业单位医疗（款）事业单位医疗（项）</w:t>
      </w:r>
      <w:r>
        <w:rPr>
          <w:rFonts w:hint="eastAsia" w:ascii="黑体" w:hAnsi="黑体" w:eastAsia="黑体" w:cs="黑体"/>
          <w:b w:val="0"/>
          <w:bCs w:val="0"/>
          <w:sz w:val="32"/>
          <w:szCs w:val="32"/>
          <w:lang w:eastAsia="zh-CN"/>
        </w:rPr>
        <w:t>。</w:t>
      </w:r>
      <w:r>
        <w:rPr>
          <w:rFonts w:hint="eastAsia" w:ascii="仿宋" w:hAnsi="仿宋" w:eastAsia="仿宋" w:cs="仿宋"/>
          <w:b w:val="0"/>
          <w:bCs w:val="0"/>
          <w:sz w:val="32"/>
          <w:szCs w:val="32"/>
        </w:rPr>
        <w:t>反映财政部门安排的事业单位基本医疗保险缴费经费，未参加医疗保险的事业单位的公费医疗经费</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按国家规定享受离休人员</w:t>
      </w:r>
      <w:r>
        <w:rPr>
          <w:rFonts w:hint="eastAsia" w:ascii="仿宋" w:hAnsi="仿宋" w:eastAsia="仿宋" w:cs="仿宋"/>
          <w:b w:val="0"/>
          <w:bCs w:val="0"/>
          <w:sz w:val="32"/>
          <w:szCs w:val="32"/>
          <w:lang w:eastAsia="zh-CN"/>
        </w:rPr>
        <w:t>待遇</w:t>
      </w:r>
      <w:r>
        <w:rPr>
          <w:rFonts w:hint="eastAsia" w:ascii="仿宋" w:hAnsi="仿宋" w:eastAsia="仿宋" w:cs="仿宋"/>
          <w:b w:val="0"/>
          <w:bCs w:val="0"/>
          <w:sz w:val="32"/>
          <w:szCs w:val="32"/>
        </w:rPr>
        <w:t>的医疗经费。</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jc w:val="both"/>
        <w:textAlignment w:val="auto"/>
        <w:rPr>
          <w:rFonts w:ascii="仿宋" w:hAnsi="仿宋" w:eastAsia="仿宋" w:cs="仿宋"/>
          <w:b w:val="0"/>
          <w:bCs w:val="0"/>
          <w:sz w:val="32"/>
          <w:szCs w:val="32"/>
        </w:rPr>
      </w:pPr>
      <w:r>
        <w:rPr>
          <w:rFonts w:hint="eastAsia" w:ascii="黑体" w:hAnsi="黑体" w:eastAsia="黑体" w:cs="黑体"/>
          <w:b w:val="0"/>
          <w:bCs w:val="0"/>
          <w:sz w:val="32"/>
          <w:szCs w:val="32"/>
        </w:rPr>
        <w:t>住房保障支出（类）住房改革支出（款）住房公积金（项）</w:t>
      </w:r>
      <w:r>
        <w:rPr>
          <w:rFonts w:hint="eastAsia" w:ascii="黑体" w:hAnsi="黑体" w:eastAsia="黑体" w:cs="黑体"/>
          <w:b w:val="0"/>
          <w:bCs w:val="0"/>
          <w:sz w:val="32"/>
          <w:szCs w:val="32"/>
          <w:lang w:eastAsia="zh-CN"/>
        </w:rPr>
        <w:t>。</w:t>
      </w:r>
      <w:r>
        <w:rPr>
          <w:rFonts w:hint="eastAsia" w:ascii="仿宋" w:hAnsi="仿宋" w:eastAsia="仿宋" w:cs="仿宋"/>
          <w:b w:val="0"/>
          <w:bCs w:val="0"/>
          <w:sz w:val="32"/>
          <w:szCs w:val="32"/>
        </w:rPr>
        <w:t>反映行政事业单位按人力资源和社会保障部、财政部规定的基本工资和津贴补贴以及规定比例为职工缴纳的住房公积金。</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jc w:val="both"/>
        <w:textAlignment w:val="auto"/>
        <w:rPr>
          <w:rFonts w:ascii="仿宋" w:hAnsi="仿宋" w:eastAsia="仿宋" w:cs="仿宋"/>
          <w:b w:val="0"/>
          <w:bCs w:val="0"/>
          <w:sz w:val="32"/>
          <w:szCs w:val="32"/>
        </w:rPr>
      </w:pPr>
      <w:r>
        <w:rPr>
          <w:rFonts w:hint="eastAsia" w:ascii="黑体" w:hAnsi="黑体" w:eastAsia="黑体" w:cs="黑体"/>
          <w:b w:val="0"/>
          <w:bCs w:val="0"/>
          <w:sz w:val="32"/>
          <w:szCs w:val="32"/>
        </w:rPr>
        <w:t>基本支出</w:t>
      </w:r>
      <w:r>
        <w:rPr>
          <w:rFonts w:hint="eastAsia" w:ascii="黑体" w:hAnsi="黑体" w:eastAsia="黑体" w:cs="黑体"/>
          <w:b w:val="0"/>
          <w:bCs w:val="0"/>
          <w:sz w:val="32"/>
          <w:szCs w:val="32"/>
          <w:lang w:eastAsia="zh-CN"/>
        </w:rPr>
        <w:t>。</w:t>
      </w:r>
      <w:r>
        <w:rPr>
          <w:rFonts w:hint="eastAsia" w:ascii="仿宋" w:hAnsi="仿宋" w:eastAsia="仿宋" w:cs="仿宋"/>
          <w:b w:val="0"/>
          <w:bCs w:val="0"/>
          <w:sz w:val="32"/>
          <w:szCs w:val="32"/>
        </w:rPr>
        <w:t>指为保障机构正常运转、完成日常工作任务而发生的人员支出和公用支出。</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jc w:val="both"/>
        <w:textAlignment w:val="auto"/>
        <w:rPr>
          <w:rFonts w:ascii="仿宋" w:hAnsi="仿宋" w:eastAsia="仿宋" w:cs="仿宋"/>
          <w:b w:val="0"/>
          <w:bCs w:val="0"/>
          <w:sz w:val="32"/>
          <w:szCs w:val="32"/>
        </w:rPr>
      </w:pPr>
      <w:r>
        <w:rPr>
          <w:rFonts w:hint="eastAsia" w:ascii="黑体" w:hAnsi="黑体" w:eastAsia="黑体" w:cs="黑体"/>
          <w:b w:val="0"/>
          <w:bCs w:val="0"/>
          <w:sz w:val="32"/>
          <w:szCs w:val="32"/>
        </w:rPr>
        <w:t>项目支出</w:t>
      </w:r>
      <w:r>
        <w:rPr>
          <w:rFonts w:hint="eastAsia" w:ascii="黑体" w:hAnsi="黑体" w:eastAsia="黑体" w:cs="黑体"/>
          <w:b w:val="0"/>
          <w:bCs w:val="0"/>
          <w:sz w:val="32"/>
          <w:szCs w:val="32"/>
          <w:lang w:eastAsia="zh-CN"/>
        </w:rPr>
        <w:t>。</w:t>
      </w:r>
      <w:r>
        <w:rPr>
          <w:rFonts w:hint="eastAsia" w:ascii="仿宋" w:hAnsi="仿宋" w:eastAsia="仿宋" w:cs="仿宋"/>
          <w:b w:val="0"/>
          <w:bCs w:val="0"/>
          <w:sz w:val="32"/>
          <w:szCs w:val="32"/>
        </w:rPr>
        <w:t xml:space="preserve">指在基本支出之外为完成特定行政任务和事业发展目标所发生的支出。 </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jc w:val="both"/>
        <w:textAlignment w:val="auto"/>
        <w:rPr>
          <w:rFonts w:ascii="仿宋" w:hAnsi="仿宋" w:eastAsia="仿宋" w:cs="仿宋"/>
          <w:b w:val="0"/>
          <w:bCs w:val="0"/>
          <w:sz w:val="32"/>
          <w:szCs w:val="32"/>
        </w:rPr>
      </w:pPr>
      <w:r>
        <w:rPr>
          <w:rFonts w:hint="eastAsia" w:ascii="黑体" w:hAnsi="黑体" w:eastAsia="黑体" w:cs="黑体"/>
          <w:b w:val="0"/>
          <w:bCs w:val="0"/>
          <w:sz w:val="32"/>
          <w:szCs w:val="32"/>
        </w:rPr>
        <w:t>“三公”经费</w:t>
      </w:r>
      <w:r>
        <w:rPr>
          <w:rFonts w:hint="eastAsia" w:ascii="黑体" w:hAnsi="黑体" w:eastAsia="黑体" w:cs="黑体"/>
          <w:b w:val="0"/>
          <w:bCs w:val="0"/>
          <w:sz w:val="32"/>
          <w:szCs w:val="32"/>
          <w:lang w:eastAsia="zh-CN"/>
        </w:rPr>
        <w:t>。</w:t>
      </w:r>
      <w:r>
        <w:rPr>
          <w:rFonts w:hint="eastAsia" w:ascii="仿宋" w:hAnsi="仿宋" w:eastAsia="仿宋" w:cs="仿宋"/>
          <w:b w:val="0"/>
          <w:bCs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76" w:lineRule="exact"/>
        <w:ind w:firstLine="640" w:firstLineChars="200"/>
        <w:jc w:val="center"/>
        <w:outlineLvl w:val="9"/>
        <w:rPr>
          <w:rFonts w:ascii="华文仿宋" w:hAnsi="华文仿宋" w:eastAsia="华文仿宋"/>
          <w:b w:val="0"/>
          <w:bCs w:val="0"/>
          <w:color w:val="000000"/>
          <w:sz w:val="32"/>
          <w:szCs w:val="32"/>
        </w:rPr>
        <w:sectPr>
          <w:footerReference r:id="rId7" w:type="first"/>
          <w:footerReference r:id="rId6" w:type="default"/>
          <w:pgSz w:w="11906" w:h="16838"/>
          <w:pgMar w:top="2098" w:right="1474" w:bottom="1984" w:left="1587" w:header="851" w:footer="992" w:gutter="0"/>
          <w:pgNumType w:fmt="decimal" w:start="1"/>
          <w:cols w:space="425"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atLeast"/>
        <w:jc w:val="center"/>
        <w:textAlignment w:val="auto"/>
        <w:outlineLvl w:val="0"/>
        <w:rPr>
          <w:rStyle w:val="16"/>
          <w:rFonts w:asciiTheme="majorEastAsia" w:hAnsiTheme="majorEastAsia" w:eastAsiaTheme="majorEastAsia" w:cstheme="majorEastAsia"/>
        </w:rPr>
      </w:pPr>
      <w:bookmarkStart w:id="76" w:name="_Toc27015"/>
      <w:r>
        <w:rPr>
          <w:rStyle w:val="16"/>
          <w:rFonts w:hint="eastAsia" w:asciiTheme="majorEastAsia" w:hAnsiTheme="majorEastAsia" w:eastAsiaTheme="majorEastAsia" w:cstheme="majorEastAsia"/>
        </w:rPr>
        <w:t xml:space="preserve">第四部分 </w:t>
      </w:r>
      <w:r>
        <w:rPr>
          <w:rStyle w:val="16"/>
          <w:rFonts w:hint="eastAsia" w:asciiTheme="majorEastAsia" w:hAnsiTheme="majorEastAsia" w:eastAsiaTheme="majorEastAsia" w:cstheme="majorEastAsia"/>
          <w:lang w:val="en-US" w:eastAsia="zh-CN"/>
        </w:rPr>
        <w:t xml:space="preserve"> </w:t>
      </w:r>
      <w:r>
        <w:rPr>
          <w:rStyle w:val="16"/>
          <w:rFonts w:hint="eastAsia" w:asciiTheme="majorEastAsia" w:hAnsiTheme="majorEastAsia" w:eastAsiaTheme="majorEastAsia" w:cstheme="majorEastAsia"/>
        </w:rPr>
        <w:t>附件</w:t>
      </w:r>
      <w:bookmarkEnd w:id="72"/>
      <w:bookmarkEnd w:id="76"/>
    </w:p>
    <w:p>
      <w:pPr>
        <w:spacing w:before="0" w:after="0" w:line="280" w:lineRule="auto"/>
        <w:ind w:left="0" w:right="0" w:firstLine="0"/>
        <w:jc w:val="both"/>
        <w:rPr>
          <w:rFonts w:hint="default" w:ascii="黑体" w:hAnsi="黑体" w:eastAsia="黑体" w:cs="黑体"/>
          <w:color w:val="auto"/>
          <w:spacing w:val="0"/>
          <w:position w:val="0"/>
          <w:sz w:val="32"/>
          <w:szCs w:val="32"/>
          <w:shd w:val="clear" w:fill="auto"/>
          <w:lang w:val="en-US" w:eastAsia="zh-CN"/>
        </w:rPr>
      </w:pPr>
      <w:bookmarkStart w:id="77" w:name="_Toc15396618"/>
      <w:r>
        <w:rPr>
          <w:rFonts w:hint="eastAsia" w:ascii="黑体" w:hAnsi="黑体" w:eastAsia="黑体" w:cs="黑体"/>
          <w:color w:val="auto"/>
          <w:spacing w:val="0"/>
          <w:position w:val="0"/>
          <w:sz w:val="32"/>
          <w:szCs w:val="32"/>
          <w:shd w:val="clear" w:fill="auto"/>
          <w:lang w:val="en-US" w:eastAsia="zh-CN"/>
        </w:rPr>
        <w:t>附件1</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3"/>
        <w:gridCol w:w="1832"/>
        <w:gridCol w:w="1572"/>
        <w:gridCol w:w="2015"/>
        <w:gridCol w:w="470"/>
        <w:gridCol w:w="1103"/>
        <w:gridCol w:w="859"/>
        <w:gridCol w:w="985"/>
        <w:gridCol w:w="486"/>
        <w:gridCol w:w="396"/>
        <w:gridCol w:w="36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2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51080021T000000050752-免费开放地方配套资金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5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广元市文化广播电视和旅游局部门</w:t>
            </w:r>
          </w:p>
        </w:tc>
        <w:tc>
          <w:tcPr>
            <w:tcW w:w="35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6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广元市博物馆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5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5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通过项目实施，完成博物馆免费开放正常运转，不断提高公共文化水平，发挥宣传、教育职能，推动市博物馆场馆智慧和网上服务。完成全市中小学生研学实践教育基地等创建，达到弘扬民族文化发挥积极作用。  </w:t>
            </w:r>
          </w:p>
        </w:tc>
        <w:tc>
          <w:tcPr>
            <w:tcW w:w="19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通过项目实施，完成博物馆免费开放正常运转，不断提高公共文化水平，发挥宣传、教育职能，推动市博物馆场馆智慧和网上服务。完成全市中小学生研学实践教育基地等创建，达到弘扬民族文化发挥积极作用。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2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部用于市博物馆免费开放运行。包括：保障水电供用、设施设备维修、保障消防安全和展品安全落实24小时值班值守、举办公益性讲座，业务培训、网络信息建设、学术交流等。有序推进免费开放工作，提升服务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w:t>
            </w:r>
          </w:p>
        </w:tc>
        <w:tc>
          <w:tcPr>
            <w:tcW w:w="8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w:t>
            </w:r>
          </w:p>
        </w:tc>
        <w:tc>
          <w:tcPr>
            <w:tcW w:w="8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8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登记志愿者人数</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40</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基本陈列展览数量</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举办安全培训</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保障免费开放正常运转</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举办社会教育活动次数</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169</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学术讲座</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举办临时展览</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免费开放天数</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311</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315</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吸引观众人数</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42000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160000</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免费讲解</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2400</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5.18国际博物馆日、非遗宣传日宣传资料</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万份</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5.95</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社会活动参与率</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藏品安全保障率</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各类活动按时完成率</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群众投诉处理时限</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普及文博知识，弘扬优秀传统文化</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较高</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19</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公众满意度</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95</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市级地方免费配套资金</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14</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7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9</w:t>
            </w:r>
            <w:r>
              <w:rPr>
                <w:rFonts w:hint="eastAsia" w:ascii="宋体" w:hAnsi="宋体" w:eastAsia="宋体" w:cs="宋体"/>
                <w:i w:val="0"/>
                <w:iCs w:val="0"/>
                <w:color w:val="000000"/>
                <w:kern w:val="0"/>
                <w:sz w:val="18"/>
                <w:szCs w:val="18"/>
                <w:u w:val="none"/>
                <w:lang w:val="en-US" w:eastAsia="zh-CN" w:bidi="ar"/>
              </w:rPr>
              <w:t>8</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8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结合自评情况，项目自评总分98分，严格按照绩效管理办法执行，确保博物馆免费开放工作有序进行，为观众提供优质服务，推动博物馆事业发展，不断满足人民群众对文化的需求，不断传承广元悠久历史文化。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8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在预算执行过程中，强化绩效监控管理。绩效指标设置的精准性、合理性有待进一步改善。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8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加强绩效管理，提高绩效管理水平，进一步规范绩效目标编制。一是组织预算绩效管理相关培训，提高人员绩效管理水平。二是对项目绩效目标和指标目标设置的科学性、合理性和规范性。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232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lang w:eastAsia="zh-CN"/>
              </w:rPr>
            </w:pPr>
            <w:r>
              <w:rPr>
                <w:rFonts w:hint="eastAsia" w:ascii="黑体" w:hAnsi="黑体" w:eastAsia="黑体" w:cs="黑体"/>
                <w:i w:val="0"/>
                <w:iCs w:val="0"/>
                <w:color w:val="000000"/>
                <w:kern w:val="0"/>
                <w:sz w:val="18"/>
                <w:szCs w:val="18"/>
                <w:u w:val="none"/>
                <w:lang w:val="en-US" w:eastAsia="zh-CN" w:bidi="ar"/>
              </w:rPr>
              <w:t>项目负责人：王洪燕</w:t>
            </w:r>
          </w:p>
        </w:tc>
        <w:tc>
          <w:tcPr>
            <w:tcW w:w="267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财务负责人：张继钢</w:t>
            </w:r>
          </w:p>
        </w:tc>
      </w:tr>
    </w:tbl>
    <w:p>
      <w:pPr>
        <w:keepNext w:val="0"/>
        <w:keepLines w:val="0"/>
        <w:pageBreakBefore w:val="0"/>
        <w:widowControl w:val="0"/>
        <w:kinsoku/>
        <w:wordWrap/>
        <w:overflowPunct/>
        <w:topLinePunct w:val="0"/>
        <w:autoSpaceDE/>
        <w:autoSpaceDN/>
        <w:bidi w:val="0"/>
        <w:adjustRightInd/>
        <w:snapToGrid/>
        <w:spacing w:before="0" w:after="0" w:line="576" w:lineRule="exact"/>
        <w:ind w:left="0" w:right="0" w:firstLine="0"/>
        <w:jc w:val="both"/>
        <w:textAlignment w:val="auto"/>
        <w:rPr>
          <w:rFonts w:hint="eastAsia" w:ascii="仿宋" w:hAnsi="仿宋" w:eastAsia="仿宋" w:cs="仿宋"/>
          <w:color w:val="auto"/>
          <w:spacing w:val="0"/>
          <w:position w:val="0"/>
          <w:sz w:val="32"/>
          <w:szCs w:val="32"/>
          <w:shd w:val="clear" w:fill="auto"/>
          <w:lang w:val="en-US" w:eastAsia="zh-CN"/>
        </w:rPr>
      </w:pPr>
    </w:p>
    <w:p>
      <w:pPr>
        <w:keepNext w:val="0"/>
        <w:keepLines w:val="0"/>
        <w:pageBreakBefore w:val="0"/>
        <w:widowControl w:val="0"/>
        <w:kinsoku/>
        <w:wordWrap/>
        <w:overflowPunct/>
        <w:topLinePunct w:val="0"/>
        <w:autoSpaceDE/>
        <w:autoSpaceDN/>
        <w:bidi w:val="0"/>
        <w:adjustRightInd/>
        <w:snapToGrid/>
        <w:spacing w:before="0" w:after="0" w:line="576" w:lineRule="exact"/>
        <w:ind w:left="0" w:right="0" w:firstLine="0"/>
        <w:jc w:val="both"/>
        <w:textAlignment w:val="auto"/>
        <w:rPr>
          <w:rFonts w:hint="eastAsia" w:ascii="仿宋" w:hAnsi="仿宋" w:eastAsia="仿宋" w:cs="仿宋"/>
          <w:color w:val="auto"/>
          <w:spacing w:val="0"/>
          <w:position w:val="0"/>
          <w:sz w:val="32"/>
          <w:szCs w:val="32"/>
          <w:shd w:val="clear" w:fill="auto"/>
          <w:lang w:val="en-US" w:eastAsia="zh-CN"/>
        </w:rPr>
      </w:pPr>
    </w:p>
    <w:p>
      <w:pPr>
        <w:spacing w:before="0" w:after="0" w:line="280" w:lineRule="auto"/>
        <w:ind w:left="0" w:right="0" w:firstLine="0"/>
        <w:jc w:val="both"/>
        <w:rPr>
          <w:rFonts w:hint="default" w:ascii="宋体" w:hAnsi="宋体" w:eastAsia="宋体" w:cs="宋体"/>
          <w:color w:val="auto"/>
          <w:spacing w:val="0"/>
          <w:position w:val="0"/>
          <w:sz w:val="30"/>
          <w:szCs w:val="30"/>
          <w:shd w:val="clear" w:fill="auto"/>
          <w:lang w:val="en-US" w:eastAsia="zh-CN"/>
        </w:rPr>
      </w:pPr>
      <w:r>
        <w:rPr>
          <w:rFonts w:hint="eastAsia" w:ascii="黑体" w:hAnsi="黑体" w:eastAsia="黑体" w:cs="黑体"/>
          <w:color w:val="auto"/>
          <w:spacing w:val="0"/>
          <w:position w:val="0"/>
          <w:sz w:val="32"/>
          <w:szCs w:val="32"/>
          <w:shd w:val="clear" w:fill="auto"/>
          <w:lang w:val="en-US" w:eastAsia="zh-CN"/>
        </w:rPr>
        <w:t>附件2</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2"/>
        <w:gridCol w:w="1832"/>
        <w:gridCol w:w="1577"/>
        <w:gridCol w:w="2018"/>
        <w:gridCol w:w="467"/>
        <w:gridCol w:w="1497"/>
        <w:gridCol w:w="467"/>
        <w:gridCol w:w="977"/>
        <w:gridCol w:w="486"/>
        <w:gridCol w:w="397"/>
        <w:gridCol w:w="36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2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51080021T000000050963-运行维护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5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广元市文化广播电视和旅游局部门</w:t>
            </w:r>
          </w:p>
        </w:tc>
        <w:tc>
          <w:tcPr>
            <w:tcW w:w="34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6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广元市博物馆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5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5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保障博物馆正常运转，对公众免费开放，为社会发展提供服务。</w:t>
            </w:r>
          </w:p>
        </w:tc>
        <w:tc>
          <w:tcPr>
            <w:tcW w:w="19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通过项目实施。保障博物馆正常运转，对公众免费开放，为社会发展提供服务。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2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全年保障设施设备正常运转，为观众提供良好的参观环境，促进文博事业的繁荣和发展；对弘扬民族文化、对博物馆宣传教育发挥积极作用。受到广大游客一致好评，观众满意度达95%。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5.67</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5.67</w:t>
            </w:r>
          </w:p>
        </w:tc>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5.67</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3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5.67</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5.67</w:t>
            </w:r>
          </w:p>
        </w:tc>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5.67</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基本陈列展览数量</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馆内刑事、治安案件发生次数</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免费开放天数</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311</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315</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年度正常开馆率</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安全运行率</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藏品安全保障率</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实施时间</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保障设施设备正常运转、提供良好环境</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20</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公众满意度</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95</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56700</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56700</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8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9</w:t>
            </w:r>
            <w:r>
              <w:rPr>
                <w:rFonts w:hint="eastAsia" w:ascii="宋体" w:hAnsi="宋体" w:eastAsia="宋体" w:cs="宋体"/>
                <w:i w:val="0"/>
                <w:iCs w:val="0"/>
                <w:color w:val="000000"/>
                <w:kern w:val="0"/>
                <w:sz w:val="18"/>
                <w:szCs w:val="18"/>
                <w:u w:val="none"/>
                <w:lang w:val="en-US" w:eastAsia="zh-CN" w:bidi="ar"/>
              </w:rPr>
              <w:t>9</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7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结合自评情况，说明项目自评总分99分，运行维护为博物馆的基本开放和基本服务提供了根本保障，为游客提供服务解决了基本的资金需求。在资金的使用上严格按照相关文件要求执行，并确保项目的整体推进和质量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7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绩效指标设置的精准性、合理性有待进一步改善。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7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加强预算编制准确性，提高资金使用效率。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7" w:hRule="atLeast"/>
        </w:trPr>
        <w:tc>
          <w:tcPr>
            <w:tcW w:w="23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项目负责人：王洪燕</w:t>
            </w:r>
          </w:p>
        </w:tc>
        <w:tc>
          <w:tcPr>
            <w:tcW w:w="266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财务负责人：张继钢</w:t>
            </w:r>
          </w:p>
        </w:tc>
      </w:tr>
    </w:tbl>
    <w:p>
      <w:pPr>
        <w:keepNext w:val="0"/>
        <w:keepLines w:val="0"/>
        <w:pageBreakBefore w:val="0"/>
        <w:widowControl w:val="0"/>
        <w:kinsoku/>
        <w:wordWrap/>
        <w:overflowPunct/>
        <w:topLinePunct w:val="0"/>
        <w:autoSpaceDE/>
        <w:autoSpaceDN/>
        <w:bidi w:val="0"/>
        <w:adjustRightInd/>
        <w:snapToGrid/>
        <w:spacing w:before="0" w:after="0" w:line="576" w:lineRule="exact"/>
        <w:ind w:left="0" w:right="0" w:firstLine="0"/>
        <w:jc w:val="both"/>
        <w:textAlignment w:val="auto"/>
        <w:rPr>
          <w:rFonts w:hint="eastAsia" w:ascii="仿宋" w:hAnsi="仿宋" w:eastAsia="仿宋" w:cs="仿宋"/>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76" w:lineRule="exact"/>
        <w:ind w:left="0" w:right="0" w:firstLine="0"/>
        <w:jc w:val="both"/>
        <w:textAlignment w:val="auto"/>
        <w:rPr>
          <w:rFonts w:hint="eastAsia" w:ascii="仿宋" w:hAnsi="仿宋" w:eastAsia="仿宋" w:cs="仿宋"/>
          <w:color w:val="auto"/>
          <w:spacing w:val="0"/>
          <w:position w:val="0"/>
          <w:sz w:val="32"/>
          <w:szCs w:val="32"/>
          <w:shd w:val="clear" w:fill="auto"/>
        </w:rPr>
      </w:pPr>
    </w:p>
    <w:p>
      <w:pPr>
        <w:spacing w:before="0" w:after="0" w:line="280" w:lineRule="auto"/>
        <w:ind w:left="0" w:right="0" w:firstLine="0"/>
        <w:jc w:val="both"/>
        <w:rPr>
          <w:rFonts w:ascii="宋体" w:hAnsi="宋体" w:eastAsia="宋体" w:cs="宋体"/>
          <w:color w:val="auto"/>
          <w:spacing w:val="0"/>
          <w:position w:val="0"/>
          <w:sz w:val="18"/>
          <w:shd w:val="clear" w:fill="auto"/>
        </w:rPr>
      </w:pPr>
      <w:r>
        <w:rPr>
          <w:rFonts w:hint="eastAsia" w:ascii="黑体" w:hAnsi="黑体" w:eastAsia="黑体" w:cs="黑体"/>
          <w:color w:val="auto"/>
          <w:spacing w:val="0"/>
          <w:position w:val="0"/>
          <w:sz w:val="32"/>
          <w:szCs w:val="32"/>
          <w:shd w:val="clear" w:fill="auto"/>
          <w:lang w:val="en-US" w:eastAsia="zh-CN"/>
        </w:rPr>
        <w:t>附件3</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2"/>
        <w:gridCol w:w="1832"/>
        <w:gridCol w:w="1577"/>
        <w:gridCol w:w="2018"/>
        <w:gridCol w:w="467"/>
        <w:gridCol w:w="1497"/>
        <w:gridCol w:w="467"/>
        <w:gridCol w:w="977"/>
        <w:gridCol w:w="486"/>
        <w:gridCol w:w="397"/>
        <w:gridCol w:w="36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2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51080021T000000050974-临时展览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5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广元市文化广播电视和旅游局部门</w:t>
            </w:r>
          </w:p>
        </w:tc>
        <w:tc>
          <w:tcPr>
            <w:tcW w:w="34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6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广元市博物馆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5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5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博物馆根据工作职能举办临时展览，通过不同主题为观众提供不同视觉的文化大餐，为“弘扬民族文化、博物馆宣传教育”发挥积极作用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p>
        </w:tc>
        <w:tc>
          <w:tcPr>
            <w:tcW w:w="19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博物馆根据工作职能举办临时展览，通过不同主题为观众提供不同视觉的文化大餐，为“弘扬民族文化、博物馆宣传教育”发挥积极作用 </w:t>
            </w:r>
            <w:r>
              <w:rPr>
                <w:rFonts w:hint="eastAsia" w:ascii="黑体" w:hAnsi="黑体" w:eastAsia="黑体" w:cs="黑体"/>
                <w:i w:val="0"/>
                <w:iCs w:val="0"/>
                <w:color w:val="000000"/>
                <w:kern w:val="0"/>
                <w:sz w:val="18"/>
                <w:szCs w:val="18"/>
                <w:u w:val="none"/>
                <w:lang w:val="en-US" w:eastAsia="zh-CN" w:bidi="ar"/>
              </w:rPr>
              <w:br w:type="textWrapping"/>
            </w:r>
            <w:r>
              <w:rPr>
                <w:rFonts w:hint="eastAsia" w:ascii="黑体" w:hAnsi="黑体" w:eastAsia="黑体" w:cs="黑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2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全部用于市博物馆临时展览正常运行。保障水电供用、设施设备维修、保障消防安全和展品安全24小时值班值守。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参观人数</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35000</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线上临时展览</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11</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临时展览</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展览天数</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137</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展厅管理导讲服务失误次数</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媒体网络报到次数</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40</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临时展览正常开馆率</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藏品安全保障率</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普及文博知识，弘扬优秀传统文化</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文物保护宣传影响</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公众满意度</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95</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临时展览经费</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8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9</w:t>
            </w:r>
            <w:r>
              <w:rPr>
                <w:rFonts w:hint="eastAsia" w:ascii="宋体" w:hAnsi="宋体" w:eastAsia="宋体" w:cs="宋体"/>
                <w:i w:val="0"/>
                <w:iCs w:val="0"/>
                <w:color w:val="000000"/>
                <w:kern w:val="0"/>
                <w:sz w:val="18"/>
                <w:szCs w:val="18"/>
                <w:u w:val="none"/>
                <w:lang w:val="en-US" w:eastAsia="zh-CN" w:bidi="ar"/>
              </w:rPr>
              <w:t>9</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7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结合自评情况，说明项目自评总分99分，博物馆是为群众提供高质量公益文化服务场所，本馆举办形式丰富的临时展览服务充分发挥社会主义精神文明建设中的作用，高扬时代主旋律，满足群众的精神文化需求，增加本馆吸引力，实现博物馆教育职能，提高社会效益和教育功能。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7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在预算执行过程中，强化绩效监控管理。绩效指标设置的精准性、合理性有待进一步改善。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7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加强绩效管理，提高绩效管理水平，进一步规范绩效目标编制。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23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项目负责人：王洪燕</w:t>
            </w:r>
          </w:p>
        </w:tc>
        <w:tc>
          <w:tcPr>
            <w:tcW w:w="266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财务负责人：张继钢</w:t>
            </w:r>
          </w:p>
        </w:tc>
      </w:tr>
    </w:tbl>
    <w:p>
      <w:pPr>
        <w:keepNext w:val="0"/>
        <w:keepLines w:val="0"/>
        <w:pageBreakBefore w:val="0"/>
        <w:widowControl w:val="0"/>
        <w:kinsoku/>
        <w:wordWrap/>
        <w:overflowPunct/>
        <w:topLinePunct w:val="0"/>
        <w:autoSpaceDE/>
        <w:autoSpaceDN/>
        <w:bidi w:val="0"/>
        <w:adjustRightInd/>
        <w:snapToGrid/>
        <w:spacing w:before="0" w:after="0" w:line="576" w:lineRule="exact"/>
        <w:ind w:left="0" w:right="0" w:firstLine="0"/>
        <w:jc w:val="both"/>
        <w:textAlignment w:val="auto"/>
        <w:rPr>
          <w:rFonts w:hint="eastAsia" w:ascii="仿宋" w:hAnsi="仿宋" w:eastAsia="仿宋" w:cs="仿宋"/>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76" w:lineRule="exact"/>
        <w:ind w:left="0" w:right="0" w:firstLine="0"/>
        <w:jc w:val="both"/>
        <w:textAlignment w:val="auto"/>
        <w:rPr>
          <w:rFonts w:hint="eastAsia" w:ascii="仿宋" w:hAnsi="仿宋" w:eastAsia="仿宋" w:cs="仿宋"/>
          <w:color w:val="auto"/>
          <w:spacing w:val="0"/>
          <w:position w:val="0"/>
          <w:sz w:val="32"/>
          <w:szCs w:val="32"/>
          <w:shd w:val="clear" w:fill="auto"/>
        </w:rPr>
      </w:pPr>
    </w:p>
    <w:p>
      <w:pPr>
        <w:spacing w:before="0" w:after="0" w:line="280" w:lineRule="auto"/>
        <w:ind w:left="0" w:right="0" w:firstLine="0"/>
        <w:jc w:val="both"/>
        <w:rPr>
          <w:rFonts w:ascii="宋体" w:hAnsi="宋体" w:eastAsia="宋体" w:cs="宋体"/>
          <w:color w:val="auto"/>
          <w:spacing w:val="0"/>
          <w:position w:val="0"/>
          <w:sz w:val="18"/>
          <w:shd w:val="clear" w:fill="auto"/>
        </w:rPr>
      </w:pPr>
      <w:r>
        <w:rPr>
          <w:rFonts w:hint="eastAsia" w:ascii="黑体" w:hAnsi="黑体" w:eastAsia="黑体" w:cs="黑体"/>
          <w:color w:val="auto"/>
          <w:spacing w:val="0"/>
          <w:position w:val="0"/>
          <w:sz w:val="32"/>
          <w:szCs w:val="32"/>
          <w:shd w:val="clear" w:fill="auto"/>
          <w:lang w:val="en-US" w:eastAsia="zh-CN"/>
        </w:rPr>
        <w:t>附件4</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1785"/>
        <w:gridCol w:w="1533"/>
        <w:gridCol w:w="1964"/>
        <w:gridCol w:w="456"/>
        <w:gridCol w:w="1455"/>
        <w:gridCol w:w="453"/>
        <w:gridCol w:w="971"/>
        <w:gridCol w:w="487"/>
        <w:gridCol w:w="396"/>
        <w:gridCol w:w="35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2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51080024T000010972764-乡村振兴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广元市文化广播电视和旅游局部门</w:t>
            </w:r>
          </w:p>
        </w:tc>
        <w:tc>
          <w:tcPr>
            <w:tcW w:w="34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广元市博物馆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按要求开展驻村工作，健强村党组织，推进强村富民，提升治理水平，为民办事服务。</w:t>
            </w:r>
          </w:p>
        </w:tc>
        <w:tc>
          <w:tcPr>
            <w:tcW w:w="19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按要求开展驻村工作。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2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根据驻村工作队管理办法，脱产驻村，参与村上各类工作，切实做好建强村党组织，推进强村富民，提升治理水平，为民办事服务工作。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w:t>
            </w:r>
          </w:p>
        </w:tc>
        <w:tc>
          <w:tcPr>
            <w:tcW w:w="8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w:t>
            </w:r>
          </w:p>
        </w:tc>
        <w:tc>
          <w:tcPr>
            <w:tcW w:w="8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8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驻村人数</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w:t>
            </w: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驻村人员年度考核合格率</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2024</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帮扶村收入提升</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好</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帮扶村群众满意</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项目完成成本</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18200</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9</w:t>
            </w:r>
            <w:r>
              <w:rPr>
                <w:rFonts w:hint="eastAsia" w:ascii="宋体" w:hAnsi="宋体" w:eastAsia="宋体" w:cs="宋体"/>
                <w:i w:val="0"/>
                <w:iCs w:val="0"/>
                <w:color w:val="000000"/>
                <w:kern w:val="0"/>
                <w:sz w:val="18"/>
                <w:szCs w:val="18"/>
                <w:u w:val="none"/>
                <w:lang w:val="en-US" w:eastAsia="zh-CN" w:bidi="ar"/>
              </w:rPr>
              <w:t>9</w:t>
            </w: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34" w:type="pct"/>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66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在项目的实施过程中，资金得到了保障，资金使用完全符合政策法规，完成了绩效目标，该项目自评得分99分。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0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在预算执行过程中，强化绩效监控管理。绩效指标设置的精准性、合理性有待进一步改善。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0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加强绩效管理，提高绩效管理水平，进一步规范绩效目标编制。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项目负责人：王洪燕</w:t>
            </w:r>
          </w:p>
        </w:tc>
        <w:tc>
          <w:tcPr>
            <w:tcW w:w="26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财务负责人：张继钢</w:t>
            </w:r>
          </w:p>
        </w:tc>
      </w:tr>
    </w:tbl>
    <w:p>
      <w:pPr>
        <w:keepNext w:val="0"/>
        <w:keepLines w:val="0"/>
        <w:pageBreakBefore w:val="0"/>
        <w:widowControl w:val="0"/>
        <w:kinsoku/>
        <w:wordWrap/>
        <w:overflowPunct/>
        <w:topLinePunct w:val="0"/>
        <w:autoSpaceDE/>
        <w:autoSpaceDN/>
        <w:bidi w:val="0"/>
        <w:adjustRightInd/>
        <w:snapToGrid/>
        <w:spacing w:before="0" w:after="0" w:line="576" w:lineRule="exact"/>
        <w:ind w:left="0" w:right="0" w:firstLine="0"/>
        <w:jc w:val="both"/>
        <w:textAlignment w:val="auto"/>
        <w:rPr>
          <w:rFonts w:hint="eastAsia" w:ascii="仿宋" w:hAnsi="仿宋" w:eastAsia="仿宋" w:cs="仿宋"/>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76" w:lineRule="exact"/>
        <w:ind w:left="0" w:right="0" w:firstLine="0"/>
        <w:jc w:val="both"/>
        <w:textAlignment w:val="auto"/>
        <w:rPr>
          <w:rFonts w:hint="eastAsia" w:ascii="仿宋" w:hAnsi="仿宋" w:eastAsia="仿宋" w:cs="仿宋"/>
          <w:color w:val="auto"/>
          <w:spacing w:val="0"/>
          <w:position w:val="0"/>
          <w:sz w:val="32"/>
          <w:szCs w:val="32"/>
          <w:shd w:val="clear" w:fill="auto"/>
        </w:rPr>
      </w:pPr>
    </w:p>
    <w:p>
      <w:pPr>
        <w:spacing w:before="0" w:after="0" w:line="280" w:lineRule="auto"/>
        <w:ind w:left="0" w:right="0" w:firstLine="0"/>
        <w:jc w:val="both"/>
        <w:rPr>
          <w:rFonts w:ascii="宋体" w:hAnsi="宋体" w:eastAsia="宋体" w:cs="宋体"/>
          <w:color w:val="auto"/>
          <w:spacing w:val="0"/>
          <w:position w:val="0"/>
          <w:sz w:val="18"/>
          <w:shd w:val="clear" w:fill="auto"/>
        </w:rPr>
      </w:pPr>
      <w:r>
        <w:rPr>
          <w:rFonts w:hint="eastAsia" w:ascii="黑体" w:hAnsi="黑体" w:eastAsia="黑体" w:cs="黑体"/>
          <w:color w:val="auto"/>
          <w:spacing w:val="0"/>
          <w:position w:val="0"/>
          <w:sz w:val="32"/>
          <w:szCs w:val="32"/>
          <w:shd w:val="clear" w:fill="auto"/>
          <w:lang w:val="en-US" w:eastAsia="zh-CN"/>
        </w:rPr>
        <w:t>附件5</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0"/>
        <w:gridCol w:w="1833"/>
        <w:gridCol w:w="1575"/>
        <w:gridCol w:w="2015"/>
        <w:gridCol w:w="470"/>
        <w:gridCol w:w="1494"/>
        <w:gridCol w:w="467"/>
        <w:gridCol w:w="980"/>
        <w:gridCol w:w="487"/>
        <w:gridCol w:w="398"/>
        <w:gridCol w:w="36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2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51080022T000006786643-博物馆免费开放补助资金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广元市文化广播电视和旅游局部门</w:t>
            </w:r>
          </w:p>
        </w:tc>
        <w:tc>
          <w:tcPr>
            <w:tcW w:w="34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6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广元市博物馆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项目实施，完成博物馆免费开放正常运转，不断提高公共文化水平，发挥宣传、教育职能，推动市博物馆场馆智慧和网上服务。完成全市中小学生研学实践教育基地等创建，达到“弘扬民族文化”，发挥积极作用。</w:t>
            </w:r>
          </w:p>
        </w:tc>
        <w:tc>
          <w:tcPr>
            <w:tcW w:w="19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通过项目实施，完成博物馆免费开放正常运转，不断提高公共文化水平，发挥宣传、教育职能，推动市博物馆场馆智慧和网上服务。完成全市中小学生研学实践教育基地等创建，达到弘扬民族文化发挥积极作用。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2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全部用于市博物馆免费开放运行。包括：保障水电供用、设施设备维修、保障消防安全和展品安全落实24小时值班值守、举办公益性讲座，业务培训、网络信息建设、学术交流等。有序推进免费开放工作，提升服务水平。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70.22</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270.22</w:t>
            </w:r>
          </w:p>
        </w:tc>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229.59</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84.97%</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华文中宋" w:hAnsi="华文中宋" w:eastAsia="华文中宋" w:cs="华文中宋"/>
                <w:i w:val="0"/>
                <w:iCs w:val="0"/>
                <w:color w:val="000000"/>
                <w:sz w:val="18"/>
                <w:szCs w:val="18"/>
                <w:u w:val="none"/>
              </w:rPr>
            </w:pPr>
            <w:r>
              <w:rPr>
                <w:rFonts w:hint="default" w:ascii="华文中宋" w:hAnsi="华文中宋" w:eastAsia="华文中宋" w:cs="华文中宋"/>
                <w:i w:val="0"/>
                <w:iCs w:val="0"/>
                <w:color w:val="000000"/>
                <w:kern w:val="0"/>
                <w:sz w:val="18"/>
                <w:szCs w:val="18"/>
                <w:u w:val="none"/>
                <w:lang w:val="en-US" w:eastAsia="zh-CN" w:bidi="ar"/>
              </w:rPr>
              <w:t>我单位政府采购劳务派遣服务合同签订时间期限（2024年7月-2025年6月）根据合同的约定，每月进行劳务费用拨付，2024年7月-12月拨付劳务派遣费用55万元。结余费用未到付款时间2025年才能支付。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70.22</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270.22</w:t>
            </w:r>
          </w:p>
        </w:tc>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229.59</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84.97%</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华文中宋" w:hAnsi="华文中宋" w:eastAsia="华文中宋" w:cs="华文中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华文中宋" w:hAnsi="华文中宋" w:eastAsia="华文中宋" w:cs="华文中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华文中宋" w:hAnsi="华文中宋" w:eastAsia="华文中宋" w:cs="华文中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华文中宋" w:hAnsi="华文中宋" w:eastAsia="华文中宋" w:cs="华文中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免费讲解</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2400</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登记志愿者人数</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40</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基本陈列展览数量</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线上临时展览</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11</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临时展览</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举办社教活动次数</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169</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安全培训次数</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培训班次人次</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学术讲座</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吸引观众人数</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160000</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免费开放天数</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311</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315</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全年免费开放正常运转时间</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5.18国际博物馆日、非物质文化遗产日、免费开放活动宣传资料</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万份</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5.95</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定时义务讲解</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875</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社会活动参与率</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藏品安全保障率</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文物宣传保护影响</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普及文博知识，弘扬优秀传统文化</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较高</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游客满意度</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95</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博物馆免费开放补助资金</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230</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8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9</w:t>
            </w:r>
            <w:r>
              <w:rPr>
                <w:rFonts w:hint="eastAsia" w:ascii="宋体" w:hAnsi="宋体" w:eastAsia="宋体" w:cs="宋体"/>
                <w:i w:val="0"/>
                <w:iCs w:val="0"/>
                <w:color w:val="000000"/>
                <w:kern w:val="0"/>
                <w:sz w:val="18"/>
                <w:szCs w:val="18"/>
                <w:u w:val="none"/>
                <w:lang w:val="en-US" w:eastAsia="zh-CN" w:bidi="ar"/>
              </w:rPr>
              <w:t>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8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结合自评情况，项目自评总分98分，严格按照绩效管理办法执行，确保博物馆免费开放工作有序进行，为观众提供优质服务，推动博物馆事业发展，不断满足人民群众对文化的需求，不断传承广元悠久历史文化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8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在预算执行过程中，强化绩效监控管理。绩效指标设置的精准性、合理性有待进一步改善。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8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加强绩效管理，提高绩效管理水平，进一步规范绩效目标编制。一是组织预算绩效管理相关培训，提高人员绩效管理水平。二是对项目绩效目标和指标目标设置的科学性、合理性和规范性。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232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项目负责人：王洪燕</w:t>
            </w:r>
          </w:p>
        </w:tc>
        <w:tc>
          <w:tcPr>
            <w:tcW w:w="267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财务负责人：张继钢</w:t>
            </w:r>
          </w:p>
        </w:tc>
      </w:tr>
    </w:tbl>
    <w:p>
      <w:pPr>
        <w:keepNext w:val="0"/>
        <w:keepLines w:val="0"/>
        <w:pageBreakBefore w:val="0"/>
        <w:widowControl w:val="0"/>
        <w:kinsoku/>
        <w:wordWrap/>
        <w:overflowPunct/>
        <w:topLinePunct w:val="0"/>
        <w:autoSpaceDE/>
        <w:autoSpaceDN/>
        <w:bidi w:val="0"/>
        <w:adjustRightInd/>
        <w:snapToGrid/>
        <w:spacing w:before="0" w:after="0" w:line="576" w:lineRule="exact"/>
        <w:ind w:left="0" w:right="0" w:firstLine="0"/>
        <w:jc w:val="both"/>
        <w:textAlignment w:val="auto"/>
        <w:rPr>
          <w:rFonts w:hint="eastAsia" w:ascii="仿宋" w:hAnsi="仿宋" w:eastAsia="仿宋" w:cs="仿宋"/>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76" w:lineRule="exact"/>
        <w:ind w:left="0" w:right="0" w:firstLine="0"/>
        <w:jc w:val="both"/>
        <w:textAlignment w:val="auto"/>
        <w:rPr>
          <w:rFonts w:hint="eastAsia" w:ascii="仿宋" w:hAnsi="仿宋" w:eastAsia="仿宋" w:cs="仿宋"/>
          <w:color w:val="auto"/>
          <w:spacing w:val="0"/>
          <w:position w:val="0"/>
          <w:sz w:val="32"/>
          <w:szCs w:val="32"/>
          <w:shd w:val="clear" w:fill="auto"/>
        </w:rPr>
      </w:pPr>
    </w:p>
    <w:p>
      <w:pPr>
        <w:pStyle w:val="5"/>
        <w:spacing w:before="93"/>
        <w:outlineLvl w:val="1"/>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6</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3"/>
        <w:gridCol w:w="2035"/>
        <w:gridCol w:w="1752"/>
        <w:gridCol w:w="2242"/>
        <w:gridCol w:w="918"/>
        <w:gridCol w:w="848"/>
        <w:gridCol w:w="943"/>
        <w:gridCol w:w="1100"/>
        <w:gridCol w:w="504"/>
        <w:gridCol w:w="445"/>
        <w:gridCol w:w="25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51080022Y000000267568-定额公用经费（事业）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广元市文化广播电视和旅游局部门</w:t>
            </w:r>
          </w:p>
        </w:tc>
        <w:tc>
          <w:tcPr>
            <w:tcW w:w="39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广元市博物馆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3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163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提高预算编制质量，严格执行预算，保障单位日常运转。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严格执行相关政策，严格费用支出，确保单位正常运维。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14.40</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14.40</w:t>
            </w:r>
          </w:p>
        </w:tc>
        <w:tc>
          <w:tcPr>
            <w:tcW w:w="9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14.40</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14.40</w:t>
            </w:r>
          </w:p>
        </w:tc>
        <w:tc>
          <w:tcPr>
            <w:tcW w:w="9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9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结合自评情况，说明项目自评总分98分，保障单位日常运转，提高预算编制质量，严格执行预算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在预算执行过程中，强化绩效监控管理。绩效指标设置的精准性、合理性有待进一步改善。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加强绩效管理，提高绩效管理水平，进一步规范绩效目标编制。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27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项目负责人：王洪燕</w:t>
            </w:r>
          </w:p>
        </w:tc>
        <w:tc>
          <w:tcPr>
            <w:tcW w:w="22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财务负责人：张继钢</w:t>
            </w:r>
          </w:p>
        </w:tc>
      </w:tr>
    </w:tbl>
    <w:p>
      <w:pPr>
        <w:pStyle w:val="5"/>
        <w:keepNext w:val="0"/>
        <w:keepLines w:val="0"/>
        <w:pageBreakBefore w:val="0"/>
        <w:widowControl w:val="0"/>
        <w:kinsoku/>
        <w:wordWrap/>
        <w:overflowPunct/>
        <w:topLinePunct w:val="0"/>
        <w:autoSpaceDE/>
        <w:autoSpaceDN/>
        <w:bidi w:val="0"/>
        <w:adjustRightInd/>
        <w:snapToGrid/>
        <w:spacing w:before="93" w:line="576" w:lineRule="exact"/>
        <w:textAlignment w:val="auto"/>
        <w:outlineLvl w:val="1"/>
        <w:rPr>
          <w:rFonts w:hint="eastAsia" w:ascii="仿宋" w:hAnsi="仿宋" w:eastAsia="仿宋" w:cs="仿宋"/>
          <w:sz w:val="32"/>
          <w:szCs w:val="32"/>
        </w:rPr>
      </w:pPr>
    </w:p>
    <w:p>
      <w:pPr>
        <w:pStyle w:val="5"/>
        <w:keepNext w:val="0"/>
        <w:keepLines w:val="0"/>
        <w:pageBreakBefore w:val="0"/>
        <w:widowControl w:val="0"/>
        <w:kinsoku/>
        <w:wordWrap/>
        <w:overflowPunct/>
        <w:topLinePunct w:val="0"/>
        <w:autoSpaceDE/>
        <w:autoSpaceDN/>
        <w:bidi w:val="0"/>
        <w:adjustRightInd/>
        <w:snapToGrid/>
        <w:spacing w:before="93" w:line="576" w:lineRule="exact"/>
        <w:textAlignment w:val="auto"/>
        <w:outlineLvl w:val="1"/>
        <w:rPr>
          <w:rFonts w:hint="eastAsia" w:ascii="仿宋" w:hAnsi="仿宋" w:eastAsia="仿宋" w:cs="仿宋"/>
          <w:sz w:val="32"/>
          <w:szCs w:val="32"/>
        </w:rPr>
      </w:pPr>
    </w:p>
    <w:p>
      <w:pPr>
        <w:pStyle w:val="5"/>
        <w:spacing w:before="93"/>
        <w:outlineLvl w:val="1"/>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7</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2037"/>
        <w:gridCol w:w="1752"/>
        <w:gridCol w:w="2244"/>
        <w:gridCol w:w="523"/>
        <w:gridCol w:w="1662"/>
        <w:gridCol w:w="523"/>
        <w:gridCol w:w="1089"/>
        <w:gridCol w:w="504"/>
        <w:gridCol w:w="445"/>
        <w:gridCol w:w="2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2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51080023R000009698970-单位年度考核奖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广元市文化广播电视和旅游局部门</w:t>
            </w:r>
          </w:p>
        </w:tc>
        <w:tc>
          <w:tcPr>
            <w:tcW w:w="387"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广元市博物馆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3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63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严格执行相关政策，保障工资及时、足额发放或社保及时、足额缴纳，预算编制科学合理，减少结余资金。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2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认真严格执行相关政策，保障工资及时足额发放。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20.51</w:t>
            </w:r>
          </w:p>
        </w:tc>
        <w:tc>
          <w:tcPr>
            <w:tcW w:w="9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20.51</w:t>
            </w:r>
          </w:p>
        </w:tc>
        <w:tc>
          <w:tcPr>
            <w:tcW w:w="9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9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5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结合自评情况，项目自评总分100分，按时发放职工工资并交纳五险一金。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在预算执行过程中，强化绩效监控管理。绩效指标设置的精准性、合理性有待进一步改善。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加强绩效管理，提高绩效管理水平，进一步规范绩效目标编制。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25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项目负责人：王洪燕</w:t>
            </w:r>
          </w:p>
        </w:tc>
        <w:tc>
          <w:tcPr>
            <w:tcW w:w="241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财务负责人：张继钢</w:t>
            </w:r>
          </w:p>
        </w:tc>
      </w:tr>
    </w:tbl>
    <w:p>
      <w:pPr>
        <w:pStyle w:val="5"/>
        <w:keepNext w:val="0"/>
        <w:keepLines w:val="0"/>
        <w:pageBreakBefore w:val="0"/>
        <w:widowControl w:val="0"/>
        <w:kinsoku/>
        <w:wordWrap/>
        <w:overflowPunct/>
        <w:topLinePunct w:val="0"/>
        <w:autoSpaceDE/>
        <w:autoSpaceDN/>
        <w:bidi w:val="0"/>
        <w:adjustRightInd/>
        <w:snapToGrid/>
        <w:spacing w:beforeLines="0" w:line="576" w:lineRule="exact"/>
        <w:textAlignment w:val="auto"/>
        <w:outlineLvl w:val="1"/>
        <w:rPr>
          <w:rFonts w:hint="eastAsia" w:ascii="仿宋" w:hAnsi="仿宋" w:eastAsia="仿宋" w:cs="仿宋"/>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beforeLines="0" w:line="576" w:lineRule="exact"/>
        <w:textAlignment w:val="auto"/>
        <w:outlineLvl w:val="1"/>
        <w:rPr>
          <w:rFonts w:hint="eastAsia" w:ascii="仿宋" w:hAnsi="仿宋" w:eastAsia="仿宋" w:cs="仿宋"/>
          <w:sz w:val="32"/>
          <w:szCs w:val="32"/>
          <w:lang w:val="en-US" w:eastAsia="zh-CN"/>
        </w:rPr>
      </w:pPr>
    </w:p>
    <w:p>
      <w:pPr>
        <w:pStyle w:val="5"/>
        <w:spacing w:before="93"/>
        <w:outlineLvl w:val="1"/>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8</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2037"/>
        <w:gridCol w:w="1752"/>
        <w:gridCol w:w="2244"/>
        <w:gridCol w:w="523"/>
        <w:gridCol w:w="1662"/>
        <w:gridCol w:w="523"/>
        <w:gridCol w:w="1089"/>
        <w:gridCol w:w="504"/>
        <w:gridCol w:w="445"/>
        <w:gridCol w:w="2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2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51080024R000010823060-单位缴费（在职人员五险两金）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广元市文化广播电视和旅游局部门</w:t>
            </w:r>
          </w:p>
        </w:tc>
        <w:tc>
          <w:tcPr>
            <w:tcW w:w="387"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广元市博物馆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3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63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严格执行相关政策，保障工资及时、足额发放或社保及时、足额缴纳，预算编制科学合理，减少结余资金。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2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认真严格执行相关政策，保障五险</w:t>
            </w:r>
            <w:r>
              <w:rPr>
                <w:rFonts w:hint="eastAsia" w:ascii="宋体" w:hAnsi="宋体" w:cs="宋体"/>
                <w:i w:val="0"/>
                <w:iCs w:val="0"/>
                <w:color w:val="000000"/>
                <w:kern w:val="0"/>
                <w:sz w:val="18"/>
                <w:szCs w:val="18"/>
                <w:u w:val="none"/>
                <w:lang w:val="en-US" w:eastAsia="zh-CN" w:bidi="ar"/>
              </w:rPr>
              <w:t>两金</w:t>
            </w:r>
            <w:r>
              <w:rPr>
                <w:rFonts w:ascii="宋体" w:hAnsi="宋体" w:eastAsia="宋体" w:cs="宋体"/>
                <w:i w:val="0"/>
                <w:iCs w:val="0"/>
                <w:color w:val="000000"/>
                <w:kern w:val="0"/>
                <w:sz w:val="18"/>
                <w:szCs w:val="18"/>
                <w:u w:val="none"/>
                <w:lang w:val="en-US" w:eastAsia="zh-CN" w:bidi="ar"/>
              </w:rPr>
              <w:t>及时缴纳。。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44.75</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45.77</w:t>
            </w:r>
          </w:p>
        </w:tc>
        <w:tc>
          <w:tcPr>
            <w:tcW w:w="9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45.77</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44.75</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45.77</w:t>
            </w:r>
          </w:p>
        </w:tc>
        <w:tc>
          <w:tcPr>
            <w:tcW w:w="9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45.77</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9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5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结合自评情况，项目自评总分100分，按时发放职工工资并交纳五险一金。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在预算执行过程中，强化绩效监控管理。绩效指标设置的精准性、合理性有待进一步改善。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加强绩效管理，提高绩效管理水平，进一步规范绩效目标编制。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25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项目负责人：王洪燕</w:t>
            </w:r>
          </w:p>
        </w:tc>
        <w:tc>
          <w:tcPr>
            <w:tcW w:w="241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财务负责人：张继钢</w:t>
            </w:r>
          </w:p>
        </w:tc>
      </w:tr>
    </w:tbl>
    <w:p>
      <w:pPr>
        <w:pStyle w:val="5"/>
        <w:keepNext w:val="0"/>
        <w:keepLines w:val="0"/>
        <w:pageBreakBefore w:val="0"/>
        <w:widowControl w:val="0"/>
        <w:kinsoku/>
        <w:wordWrap/>
        <w:overflowPunct/>
        <w:topLinePunct w:val="0"/>
        <w:autoSpaceDE/>
        <w:autoSpaceDN/>
        <w:bidi w:val="0"/>
        <w:adjustRightInd/>
        <w:snapToGrid/>
        <w:spacing w:beforeLines="0" w:line="576" w:lineRule="exact"/>
        <w:textAlignment w:val="auto"/>
        <w:outlineLvl w:val="1"/>
        <w:rPr>
          <w:rFonts w:hint="eastAsia" w:ascii="仿宋" w:hAnsi="仿宋" w:eastAsia="仿宋" w:cs="仿宋"/>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beforeLines="0" w:line="576" w:lineRule="exact"/>
        <w:textAlignment w:val="auto"/>
        <w:outlineLvl w:val="1"/>
        <w:rPr>
          <w:rFonts w:hint="eastAsia" w:ascii="仿宋" w:hAnsi="仿宋" w:eastAsia="仿宋" w:cs="仿宋"/>
          <w:sz w:val="32"/>
          <w:szCs w:val="32"/>
          <w:lang w:val="en-US" w:eastAsia="zh-CN"/>
        </w:rPr>
      </w:pPr>
    </w:p>
    <w:p>
      <w:pPr>
        <w:pStyle w:val="5"/>
        <w:spacing w:before="93"/>
        <w:outlineLvl w:val="1"/>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9</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2037"/>
        <w:gridCol w:w="1752"/>
        <w:gridCol w:w="2244"/>
        <w:gridCol w:w="523"/>
        <w:gridCol w:w="1662"/>
        <w:gridCol w:w="523"/>
        <w:gridCol w:w="1089"/>
        <w:gridCol w:w="504"/>
        <w:gridCol w:w="445"/>
        <w:gridCol w:w="2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2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51080024R000010823428-事业人员工资性支出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广元市文化广播电视和旅游局部门</w:t>
            </w:r>
          </w:p>
        </w:tc>
        <w:tc>
          <w:tcPr>
            <w:tcW w:w="387"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广元市博物馆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3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63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严格执行相关政策，保障工资及时、足额发放或社保及时、足额缴纳，预算编制科学合理，减少结余资金。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2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认真严格执行相关政策，保障工资及时足额发放。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90.98</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79.72</w:t>
            </w:r>
          </w:p>
        </w:tc>
        <w:tc>
          <w:tcPr>
            <w:tcW w:w="9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79.72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90.98</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79.72</w:t>
            </w:r>
          </w:p>
        </w:tc>
        <w:tc>
          <w:tcPr>
            <w:tcW w:w="9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79.72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9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5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结合自评情况，项目自评总分100分，按时发放职工工资并交纳五险一金。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在预算执行过程中，强化绩效监控管理。绩效指标设置的精准性、合理性有待进一步改善。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加强绩效管理，提高绩效管理水平，进一步规范绩效目标编制。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项目负责人：王洪燕</w:t>
            </w:r>
          </w:p>
        </w:tc>
        <w:tc>
          <w:tcPr>
            <w:tcW w:w="241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财务负责人：张继钢</w:t>
            </w:r>
          </w:p>
        </w:tc>
      </w:tr>
    </w:tbl>
    <w:p>
      <w:pPr>
        <w:pStyle w:val="5"/>
        <w:keepNext w:val="0"/>
        <w:keepLines w:val="0"/>
        <w:pageBreakBefore w:val="0"/>
        <w:widowControl w:val="0"/>
        <w:kinsoku/>
        <w:wordWrap/>
        <w:overflowPunct/>
        <w:topLinePunct w:val="0"/>
        <w:autoSpaceDE/>
        <w:autoSpaceDN/>
        <w:bidi w:val="0"/>
        <w:adjustRightInd/>
        <w:snapToGrid/>
        <w:spacing w:beforeLines="0" w:line="576" w:lineRule="exact"/>
        <w:textAlignment w:val="auto"/>
        <w:outlineLvl w:val="1"/>
        <w:rPr>
          <w:rFonts w:hint="eastAsia" w:ascii="仿宋" w:hAnsi="仿宋" w:eastAsia="仿宋" w:cs="仿宋"/>
          <w:b w:val="0"/>
          <w:bCs w:val="0"/>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beforeLines="0" w:line="576" w:lineRule="exact"/>
        <w:textAlignment w:val="auto"/>
        <w:outlineLvl w:val="1"/>
        <w:rPr>
          <w:rFonts w:hint="eastAsia" w:ascii="仿宋" w:hAnsi="仿宋" w:eastAsia="仿宋" w:cs="仿宋"/>
          <w:b w:val="0"/>
          <w:bCs w:val="0"/>
          <w:sz w:val="32"/>
          <w:szCs w:val="32"/>
          <w:lang w:val="en-US" w:eastAsia="zh-CN"/>
        </w:rPr>
      </w:pPr>
    </w:p>
    <w:p>
      <w:pPr>
        <w:pStyle w:val="5"/>
        <w:spacing w:before="93"/>
        <w:outlineLvl w:val="1"/>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10</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2"/>
        <w:gridCol w:w="2028"/>
        <w:gridCol w:w="1745"/>
        <w:gridCol w:w="2235"/>
        <w:gridCol w:w="522"/>
        <w:gridCol w:w="1659"/>
        <w:gridCol w:w="520"/>
        <w:gridCol w:w="1085"/>
        <w:gridCol w:w="503"/>
        <w:gridCol w:w="487"/>
        <w:gridCol w:w="2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51080024R000010824175-事业人员基础绩效奖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广元市文化广播电视和旅游局部门</w:t>
            </w:r>
          </w:p>
        </w:tc>
        <w:tc>
          <w:tcPr>
            <w:tcW w:w="387"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广元市博物馆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6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严格执行相关政策，保障工资及时、足额发放或社保及时、足额缴纳，预算编制科学合理，减少结余资金。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认真严格执行相关政策，保障工资及时足额发放。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39.18</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39.18</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39.18</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39.18</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39.18</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39.18</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4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结合自评情况，项目自评总分100分，按时发放职工工资。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在预算执行过程中，强化绩效监控管理。绩效指标设置的精准性、合理性有待进一步改善。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加强绩效管理，提高绩效管理水平，进一步规范绩效目标编制。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项目负责人：王洪燕</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财务负责人：张继钢</w:t>
            </w:r>
          </w:p>
        </w:tc>
      </w:tr>
    </w:tbl>
    <w:p>
      <w:pPr>
        <w:pStyle w:val="5"/>
        <w:keepNext w:val="0"/>
        <w:keepLines w:val="0"/>
        <w:pageBreakBefore w:val="0"/>
        <w:widowControl w:val="0"/>
        <w:kinsoku/>
        <w:wordWrap/>
        <w:overflowPunct/>
        <w:topLinePunct w:val="0"/>
        <w:autoSpaceDE/>
        <w:autoSpaceDN/>
        <w:bidi w:val="0"/>
        <w:adjustRightInd/>
        <w:snapToGrid/>
        <w:spacing w:beforeLines="0" w:line="576" w:lineRule="exact"/>
        <w:textAlignment w:val="auto"/>
        <w:outlineLvl w:val="1"/>
        <w:rPr>
          <w:rFonts w:hint="eastAsia" w:ascii="仿宋" w:hAnsi="仿宋" w:eastAsia="仿宋" w:cs="仿宋"/>
          <w:b w:val="0"/>
          <w:bCs w:val="0"/>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beforeLines="0" w:line="576" w:lineRule="exact"/>
        <w:textAlignment w:val="auto"/>
        <w:outlineLvl w:val="1"/>
        <w:rPr>
          <w:rFonts w:hint="eastAsia" w:ascii="仿宋" w:hAnsi="仿宋" w:eastAsia="仿宋" w:cs="仿宋"/>
          <w:b w:val="0"/>
          <w:bCs w:val="0"/>
          <w:sz w:val="32"/>
          <w:szCs w:val="32"/>
          <w:lang w:val="en-US" w:eastAsia="zh-CN"/>
        </w:rPr>
      </w:pPr>
    </w:p>
    <w:p>
      <w:pPr>
        <w:pStyle w:val="5"/>
        <w:spacing w:before="93"/>
        <w:outlineLvl w:val="1"/>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11</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2"/>
        <w:gridCol w:w="2028"/>
        <w:gridCol w:w="1745"/>
        <w:gridCol w:w="2235"/>
        <w:gridCol w:w="522"/>
        <w:gridCol w:w="1659"/>
        <w:gridCol w:w="520"/>
        <w:gridCol w:w="1085"/>
        <w:gridCol w:w="503"/>
        <w:gridCol w:w="487"/>
        <w:gridCol w:w="2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51080024R000010825320-退休人员生活补（助）贴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广元市文化广播电视和旅游局部门</w:t>
            </w:r>
          </w:p>
        </w:tc>
        <w:tc>
          <w:tcPr>
            <w:tcW w:w="387"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广元市博物馆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6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严格执行相关政策，保障工资及时、足额发放或社保及时、足额缴纳，预算编制科学合理，减少结余资金。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认真严格执行相关政策，保障工资及时足额发放。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5.04</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5.04</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5.04</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5.04</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5.04</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5.04</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8"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374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结合自评情况，项目自评总分100分，按时发放退休职工绩效生活补助。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在预算执行过程中，强化绩效监控管理。绩效指标设置的精准性、合理性有待进一步改善。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加强绩效管理，提高绩效管理水平，进一步规范绩效目标编制。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77"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项目负责人：王洪燕</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财务负责人：张继钢</w:t>
            </w:r>
          </w:p>
        </w:tc>
      </w:tr>
    </w:tbl>
    <w:p>
      <w:pPr>
        <w:pStyle w:val="5"/>
        <w:keepNext w:val="0"/>
        <w:keepLines w:val="0"/>
        <w:pageBreakBefore w:val="0"/>
        <w:widowControl w:val="0"/>
        <w:kinsoku/>
        <w:wordWrap/>
        <w:overflowPunct/>
        <w:topLinePunct w:val="0"/>
        <w:autoSpaceDE/>
        <w:autoSpaceDN/>
        <w:bidi w:val="0"/>
        <w:adjustRightInd/>
        <w:snapToGrid/>
        <w:spacing w:beforeLines="0" w:line="576" w:lineRule="exact"/>
        <w:textAlignment w:val="auto"/>
        <w:outlineLvl w:val="1"/>
        <w:rPr>
          <w:rFonts w:hint="eastAsia" w:ascii="仿宋" w:hAnsi="仿宋" w:eastAsia="仿宋" w:cs="仿宋"/>
          <w:b w:val="0"/>
          <w:bCs w:val="0"/>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beforeLines="0" w:line="576" w:lineRule="exact"/>
        <w:textAlignment w:val="auto"/>
        <w:outlineLvl w:val="1"/>
        <w:rPr>
          <w:rFonts w:hint="eastAsia" w:ascii="仿宋" w:hAnsi="仿宋" w:eastAsia="仿宋" w:cs="仿宋"/>
          <w:b w:val="0"/>
          <w:bCs w:val="0"/>
          <w:sz w:val="32"/>
          <w:szCs w:val="32"/>
          <w:lang w:val="en-US" w:eastAsia="zh-CN"/>
        </w:rPr>
      </w:pPr>
    </w:p>
    <w:p>
      <w:pPr>
        <w:pStyle w:val="5"/>
        <w:spacing w:before="93"/>
        <w:outlineLvl w:val="1"/>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12</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2037"/>
        <w:gridCol w:w="1752"/>
        <w:gridCol w:w="2244"/>
        <w:gridCol w:w="523"/>
        <w:gridCol w:w="1662"/>
        <w:gridCol w:w="523"/>
        <w:gridCol w:w="1089"/>
        <w:gridCol w:w="504"/>
        <w:gridCol w:w="445"/>
        <w:gridCol w:w="2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2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51080024Y000010826991-公用经费1（福利费、工会经费）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广元市文化广播电视和旅游局部门</w:t>
            </w:r>
          </w:p>
        </w:tc>
        <w:tc>
          <w:tcPr>
            <w:tcW w:w="387"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广元市博物馆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3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163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提高预算编制质量，严格执行预算，保障单位日常运转。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2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严格执行相关政策，严格费用支出，确保单位正常运维。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2.57</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2.57</w:t>
            </w:r>
          </w:p>
        </w:tc>
        <w:tc>
          <w:tcPr>
            <w:tcW w:w="9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2.57</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2.57</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2.57</w:t>
            </w:r>
          </w:p>
        </w:tc>
        <w:tc>
          <w:tcPr>
            <w:tcW w:w="9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2.57</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9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5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结合自评情况，说明项目自评总分98分，保障单位日常运转，提高预算编制质量，严格执行预算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在预算执行过程中，强化绩效监控管理。绩效指标设置的精准性、合理性有待进一步改善。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加强绩效管理，提高绩效管理水平，进一步规范绩效目标编制。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项目负责人：王洪燕</w:t>
            </w:r>
          </w:p>
        </w:tc>
        <w:tc>
          <w:tcPr>
            <w:tcW w:w="241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财务负责人：张继钢</w:t>
            </w:r>
          </w:p>
        </w:tc>
      </w:tr>
    </w:tbl>
    <w:p>
      <w:pPr>
        <w:pStyle w:val="5"/>
        <w:keepNext w:val="0"/>
        <w:keepLines w:val="0"/>
        <w:pageBreakBefore w:val="0"/>
        <w:widowControl w:val="0"/>
        <w:kinsoku/>
        <w:wordWrap/>
        <w:overflowPunct/>
        <w:topLinePunct w:val="0"/>
        <w:autoSpaceDE/>
        <w:autoSpaceDN/>
        <w:bidi w:val="0"/>
        <w:adjustRightInd/>
        <w:snapToGrid/>
        <w:spacing w:beforeLines="0" w:line="576" w:lineRule="exact"/>
        <w:textAlignment w:val="auto"/>
        <w:outlineLvl w:val="1"/>
        <w:rPr>
          <w:rFonts w:hint="eastAsia" w:ascii="仿宋" w:hAnsi="仿宋" w:eastAsia="仿宋" w:cs="仿宋"/>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beforeLines="0" w:line="576" w:lineRule="exact"/>
        <w:textAlignment w:val="auto"/>
        <w:outlineLvl w:val="1"/>
        <w:rPr>
          <w:rFonts w:hint="eastAsia" w:ascii="仿宋" w:hAnsi="仿宋" w:eastAsia="仿宋" w:cs="仿宋"/>
          <w:sz w:val="32"/>
          <w:szCs w:val="32"/>
          <w:lang w:val="en-US" w:eastAsia="zh-CN"/>
        </w:rPr>
      </w:pPr>
    </w:p>
    <w:p>
      <w:pPr>
        <w:pStyle w:val="5"/>
        <w:spacing w:before="93"/>
        <w:outlineLvl w:val="1"/>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13</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2"/>
        <w:gridCol w:w="2028"/>
        <w:gridCol w:w="1745"/>
        <w:gridCol w:w="2238"/>
        <w:gridCol w:w="520"/>
        <w:gridCol w:w="1656"/>
        <w:gridCol w:w="522"/>
        <w:gridCol w:w="1089"/>
        <w:gridCol w:w="504"/>
        <w:gridCol w:w="487"/>
        <w:gridCol w:w="2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51080024Y000010829846-公用经费2（公车补贴、党建、退休活动）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广元市文化广播电视和旅游局部门</w:t>
            </w:r>
          </w:p>
        </w:tc>
        <w:tc>
          <w:tcPr>
            <w:tcW w:w="387"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广元市博物馆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16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提高预算编制质量，严格执行预算，保障单位日常运转。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严格执行相关政策，严格费用支出，确保单位正常运维。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2.07</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2.07</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2.07</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2.07</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2.07</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2.07</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4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结合自评情况，说明项目自评总分98分，保障单位日常运转，提高预算编制质量，严格执行预算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在预算执行过程中，强化绩效监控管理。绩效指标设置的精准性、合理性有待进一步改善。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加强绩效管理，提高绩效管理水平，进一步规范绩效目标编制。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项目负责人：王洪燕</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财务负责人：张继钢</w:t>
            </w:r>
          </w:p>
        </w:tc>
      </w:tr>
    </w:tbl>
    <w:p>
      <w:pPr>
        <w:pStyle w:val="5"/>
        <w:spacing w:before="93"/>
        <w:outlineLvl w:val="1"/>
        <w:rPr>
          <w:rFonts w:hint="eastAsia" w:ascii="黑体" w:hAnsi="黑体" w:eastAsia="黑体" w:cs="黑体"/>
          <w:sz w:val="32"/>
          <w:szCs w:val="32"/>
          <w:lang w:val="en-US" w:eastAsia="zh-CN"/>
        </w:rPr>
      </w:pPr>
    </w:p>
    <w:p>
      <w:pPr>
        <w:spacing w:line="576" w:lineRule="exact"/>
        <w:jc w:val="both"/>
        <w:outlineLvl w:val="9"/>
        <w:rPr>
          <w:rFonts w:asciiTheme="majorEastAsia" w:hAnsiTheme="majorEastAsia" w:eastAsiaTheme="majorEastAsia" w:cstheme="majorEastAsia"/>
          <w:b/>
          <w:bCs/>
          <w:sz w:val="44"/>
          <w:szCs w:val="44"/>
        </w:rPr>
        <w:sectPr>
          <w:pgSz w:w="16838" w:h="11906" w:orient="landscape"/>
          <w:pgMar w:top="1417" w:right="1474" w:bottom="850" w:left="1587" w:header="851" w:footer="992" w:gutter="0"/>
          <w:pgNumType w:fmt="decimal"/>
          <w:cols w:space="425"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Fonts w:asciiTheme="majorEastAsia" w:hAnsiTheme="majorEastAsia" w:eastAsiaTheme="majorEastAsia" w:cstheme="majorEastAsia"/>
          <w:b/>
          <w:bCs/>
          <w:sz w:val="44"/>
          <w:szCs w:val="44"/>
        </w:rPr>
      </w:pPr>
      <w:bookmarkStart w:id="78" w:name="_Toc28837"/>
      <w:r>
        <w:rPr>
          <w:rFonts w:hint="eastAsia" w:asciiTheme="majorEastAsia" w:hAnsiTheme="majorEastAsia" w:eastAsiaTheme="majorEastAsia" w:cstheme="majorEastAsia"/>
          <w:b/>
          <w:bCs/>
          <w:sz w:val="44"/>
          <w:szCs w:val="44"/>
        </w:rPr>
        <w:t>第</w:t>
      </w:r>
      <w:r>
        <w:rPr>
          <w:rStyle w:val="16"/>
          <w:rFonts w:hint="eastAsia" w:asciiTheme="majorEastAsia" w:hAnsiTheme="majorEastAsia" w:eastAsiaTheme="majorEastAsia" w:cstheme="majorEastAsia"/>
        </w:rPr>
        <w:t xml:space="preserve">五部分 </w:t>
      </w:r>
      <w:r>
        <w:rPr>
          <w:rStyle w:val="16"/>
          <w:rFonts w:hint="eastAsia" w:asciiTheme="majorEastAsia" w:hAnsiTheme="majorEastAsia" w:eastAsiaTheme="majorEastAsia" w:cstheme="majorEastAsia"/>
          <w:lang w:val="en-US" w:eastAsia="zh-CN"/>
        </w:rPr>
        <w:t xml:space="preserve"> </w:t>
      </w:r>
      <w:r>
        <w:rPr>
          <w:rStyle w:val="16"/>
          <w:rFonts w:hint="eastAsia" w:asciiTheme="majorEastAsia" w:hAnsiTheme="majorEastAsia" w:eastAsiaTheme="majorEastAsia" w:cstheme="majorEastAsia"/>
        </w:rPr>
        <w:t>附表</w:t>
      </w:r>
      <w:bookmarkEnd w:id="73"/>
      <w:bookmarkEnd w:id="77"/>
      <w:bookmarkEnd w:id="78"/>
      <w:bookmarkStart w:id="79" w:name="_Toc15396619"/>
    </w:p>
    <w:p>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outlineLvl w:val="9"/>
        <w:rPr>
          <w:rFonts w:ascii="仿宋" w:hAnsi="仿宋" w:eastAsia="仿宋"/>
          <w:b w:val="0"/>
        </w:rPr>
      </w:pPr>
    </w:p>
    <w:p>
      <w:pPr>
        <w:numPr>
          <w:ilvl w:val="0"/>
          <w:numId w:val="6"/>
        </w:numPr>
        <w:bidi w:val="0"/>
        <w:ind w:left="0" w:leftChars="0" w:firstLine="420" w:firstLineChars="0"/>
        <w:rPr>
          <w:rFonts w:hint="eastAsia" w:ascii="仿宋" w:hAnsi="仿宋" w:eastAsia="仿宋" w:cs="仿宋"/>
          <w:sz w:val="32"/>
          <w:szCs w:val="32"/>
        </w:rPr>
      </w:pPr>
      <w:bookmarkStart w:id="80" w:name="_Toc9226"/>
      <w:r>
        <w:rPr>
          <w:rFonts w:hint="eastAsia" w:ascii="仿宋" w:hAnsi="仿宋" w:eastAsia="仿宋" w:cs="仿宋"/>
          <w:sz w:val="32"/>
          <w:szCs w:val="32"/>
        </w:rPr>
        <w:t>收入支出决算总表</w:t>
      </w:r>
      <w:bookmarkEnd w:id="79"/>
      <w:bookmarkEnd w:id="80"/>
    </w:p>
    <w:p>
      <w:pPr>
        <w:numPr>
          <w:ilvl w:val="0"/>
          <w:numId w:val="6"/>
        </w:numPr>
        <w:bidi w:val="0"/>
        <w:ind w:left="0" w:leftChars="0" w:firstLine="420" w:firstLineChars="0"/>
        <w:rPr>
          <w:rFonts w:hint="eastAsia" w:ascii="仿宋" w:hAnsi="仿宋" w:eastAsia="仿宋" w:cs="仿宋"/>
          <w:sz w:val="32"/>
          <w:szCs w:val="32"/>
        </w:rPr>
      </w:pPr>
      <w:bookmarkStart w:id="81" w:name="_Toc21837"/>
      <w:bookmarkStart w:id="82" w:name="_Toc15396620"/>
      <w:r>
        <w:rPr>
          <w:rFonts w:hint="eastAsia" w:ascii="仿宋" w:hAnsi="仿宋" w:eastAsia="仿宋" w:cs="仿宋"/>
          <w:sz w:val="32"/>
          <w:szCs w:val="32"/>
        </w:rPr>
        <w:t>收入决算表</w:t>
      </w:r>
      <w:bookmarkEnd w:id="81"/>
      <w:bookmarkEnd w:id="82"/>
      <w:bookmarkStart w:id="83" w:name="_Toc15396621"/>
    </w:p>
    <w:p>
      <w:pPr>
        <w:numPr>
          <w:ilvl w:val="0"/>
          <w:numId w:val="6"/>
        </w:numPr>
        <w:bidi w:val="0"/>
        <w:ind w:left="0" w:leftChars="0" w:firstLine="420" w:firstLineChars="0"/>
        <w:rPr>
          <w:rFonts w:hint="eastAsia" w:ascii="仿宋" w:hAnsi="仿宋" w:eastAsia="仿宋" w:cs="仿宋"/>
          <w:sz w:val="32"/>
          <w:szCs w:val="32"/>
        </w:rPr>
      </w:pPr>
      <w:bookmarkStart w:id="84" w:name="_Toc30752"/>
      <w:r>
        <w:rPr>
          <w:rFonts w:hint="eastAsia" w:ascii="仿宋" w:hAnsi="仿宋" w:eastAsia="仿宋" w:cs="仿宋"/>
          <w:sz w:val="32"/>
          <w:szCs w:val="32"/>
        </w:rPr>
        <w:t>支出决算表</w:t>
      </w:r>
      <w:bookmarkEnd w:id="83"/>
      <w:bookmarkEnd w:id="84"/>
    </w:p>
    <w:p>
      <w:pPr>
        <w:numPr>
          <w:ilvl w:val="0"/>
          <w:numId w:val="6"/>
        </w:numPr>
        <w:bidi w:val="0"/>
        <w:ind w:left="0" w:leftChars="0" w:firstLine="420" w:firstLineChars="0"/>
        <w:rPr>
          <w:rFonts w:hint="eastAsia" w:ascii="仿宋" w:hAnsi="仿宋" w:eastAsia="仿宋" w:cs="仿宋"/>
          <w:sz w:val="32"/>
          <w:szCs w:val="32"/>
        </w:rPr>
      </w:pPr>
      <w:bookmarkStart w:id="85" w:name="_Toc15396622"/>
      <w:bookmarkStart w:id="86" w:name="_Toc24837"/>
      <w:r>
        <w:rPr>
          <w:rFonts w:hint="eastAsia" w:ascii="仿宋" w:hAnsi="仿宋" w:eastAsia="仿宋" w:cs="仿宋"/>
          <w:sz w:val="32"/>
          <w:szCs w:val="32"/>
        </w:rPr>
        <w:t>财政拨款收入支出决算总表</w:t>
      </w:r>
      <w:bookmarkEnd w:id="85"/>
      <w:bookmarkEnd w:id="86"/>
    </w:p>
    <w:p>
      <w:pPr>
        <w:numPr>
          <w:ilvl w:val="0"/>
          <w:numId w:val="6"/>
        </w:numPr>
        <w:bidi w:val="0"/>
        <w:ind w:left="0" w:leftChars="0" w:firstLine="420" w:firstLineChars="0"/>
        <w:rPr>
          <w:rFonts w:hint="eastAsia" w:ascii="仿宋" w:hAnsi="仿宋" w:eastAsia="仿宋" w:cs="仿宋"/>
          <w:sz w:val="32"/>
          <w:szCs w:val="32"/>
        </w:rPr>
      </w:pPr>
      <w:bookmarkStart w:id="87" w:name="_Toc4781"/>
      <w:bookmarkStart w:id="88" w:name="_Toc15396623"/>
      <w:r>
        <w:rPr>
          <w:rFonts w:hint="eastAsia" w:ascii="仿宋" w:hAnsi="仿宋" w:eastAsia="仿宋" w:cs="仿宋"/>
          <w:sz w:val="32"/>
          <w:szCs w:val="32"/>
        </w:rPr>
        <w:t>财政拨款支出决算明细表</w:t>
      </w:r>
      <w:bookmarkEnd w:id="87"/>
      <w:bookmarkEnd w:id="88"/>
      <w:bookmarkStart w:id="89" w:name="_Toc15396624"/>
    </w:p>
    <w:p>
      <w:pPr>
        <w:numPr>
          <w:ilvl w:val="0"/>
          <w:numId w:val="6"/>
        </w:numPr>
        <w:bidi w:val="0"/>
        <w:ind w:left="0" w:leftChars="0" w:firstLine="420" w:firstLineChars="0"/>
        <w:rPr>
          <w:rFonts w:hint="eastAsia" w:ascii="仿宋" w:hAnsi="仿宋" w:eastAsia="仿宋" w:cs="仿宋"/>
          <w:sz w:val="32"/>
          <w:szCs w:val="32"/>
        </w:rPr>
      </w:pPr>
      <w:bookmarkStart w:id="90" w:name="_Toc22366"/>
      <w:r>
        <w:rPr>
          <w:rFonts w:hint="eastAsia" w:ascii="仿宋" w:hAnsi="仿宋" w:eastAsia="仿宋" w:cs="仿宋"/>
          <w:sz w:val="32"/>
          <w:szCs w:val="32"/>
        </w:rPr>
        <w:t>一般公共预算财政拨款支出决算表</w:t>
      </w:r>
      <w:bookmarkEnd w:id="89"/>
      <w:bookmarkEnd w:id="90"/>
    </w:p>
    <w:p>
      <w:pPr>
        <w:numPr>
          <w:ilvl w:val="0"/>
          <w:numId w:val="6"/>
        </w:numPr>
        <w:bidi w:val="0"/>
        <w:ind w:left="0" w:leftChars="0" w:firstLine="420" w:firstLineChars="0"/>
        <w:rPr>
          <w:rFonts w:hint="eastAsia" w:ascii="仿宋" w:hAnsi="仿宋" w:eastAsia="仿宋" w:cs="仿宋"/>
          <w:sz w:val="32"/>
          <w:szCs w:val="32"/>
        </w:rPr>
      </w:pPr>
      <w:bookmarkStart w:id="91" w:name="_Toc15396625"/>
      <w:bookmarkStart w:id="92" w:name="_Toc24640"/>
      <w:r>
        <w:rPr>
          <w:rFonts w:hint="eastAsia" w:ascii="仿宋" w:hAnsi="仿宋" w:eastAsia="仿宋" w:cs="仿宋"/>
          <w:sz w:val="32"/>
          <w:szCs w:val="32"/>
        </w:rPr>
        <w:t>一般公共预算财政拨款支出决算明细表</w:t>
      </w:r>
      <w:bookmarkEnd w:id="91"/>
      <w:bookmarkEnd w:id="92"/>
    </w:p>
    <w:p>
      <w:pPr>
        <w:numPr>
          <w:ilvl w:val="0"/>
          <w:numId w:val="6"/>
        </w:numPr>
        <w:bidi w:val="0"/>
        <w:ind w:left="0" w:leftChars="0" w:firstLine="420" w:firstLineChars="0"/>
        <w:rPr>
          <w:rFonts w:hint="eastAsia" w:ascii="仿宋" w:hAnsi="仿宋" w:eastAsia="仿宋" w:cs="仿宋"/>
          <w:sz w:val="32"/>
          <w:szCs w:val="32"/>
        </w:rPr>
      </w:pPr>
      <w:bookmarkStart w:id="93" w:name="_Toc15396626"/>
      <w:bookmarkStart w:id="94" w:name="_Toc21733"/>
      <w:r>
        <w:rPr>
          <w:rFonts w:hint="eastAsia" w:ascii="仿宋" w:hAnsi="仿宋" w:eastAsia="仿宋" w:cs="仿宋"/>
          <w:sz w:val="32"/>
          <w:szCs w:val="32"/>
        </w:rPr>
        <w:t>一般公共预算财政拨款基本支出决算表</w:t>
      </w:r>
      <w:bookmarkEnd w:id="93"/>
      <w:bookmarkEnd w:id="94"/>
    </w:p>
    <w:p>
      <w:pPr>
        <w:numPr>
          <w:ilvl w:val="0"/>
          <w:numId w:val="6"/>
        </w:numPr>
        <w:bidi w:val="0"/>
        <w:ind w:left="0" w:leftChars="0" w:firstLine="420" w:firstLineChars="0"/>
        <w:rPr>
          <w:rFonts w:hint="eastAsia" w:ascii="仿宋" w:hAnsi="仿宋" w:eastAsia="仿宋" w:cs="仿宋"/>
          <w:sz w:val="32"/>
          <w:szCs w:val="32"/>
        </w:rPr>
      </w:pPr>
      <w:bookmarkStart w:id="95" w:name="_Toc15396627"/>
      <w:bookmarkStart w:id="96" w:name="_Toc19592"/>
      <w:r>
        <w:rPr>
          <w:rFonts w:hint="eastAsia" w:ascii="仿宋" w:hAnsi="仿宋" w:eastAsia="仿宋" w:cs="仿宋"/>
          <w:sz w:val="32"/>
          <w:szCs w:val="32"/>
        </w:rPr>
        <w:t>一般公共预算财政拨款项目支出决算表</w:t>
      </w:r>
      <w:bookmarkEnd w:id="95"/>
      <w:bookmarkEnd w:id="96"/>
    </w:p>
    <w:p>
      <w:pPr>
        <w:numPr>
          <w:ilvl w:val="0"/>
          <w:numId w:val="6"/>
        </w:numPr>
        <w:bidi w:val="0"/>
        <w:ind w:left="0" w:leftChars="0" w:firstLine="420" w:firstLineChars="0"/>
        <w:rPr>
          <w:rFonts w:hint="eastAsia" w:ascii="仿宋" w:hAnsi="仿宋" w:eastAsia="仿宋" w:cs="仿宋"/>
          <w:sz w:val="32"/>
          <w:szCs w:val="32"/>
        </w:rPr>
      </w:pPr>
      <w:bookmarkStart w:id="97" w:name="_Toc6811"/>
      <w:r>
        <w:rPr>
          <w:rFonts w:hint="eastAsia" w:ascii="仿宋" w:hAnsi="仿宋" w:eastAsia="仿宋" w:cs="仿宋"/>
          <w:sz w:val="32"/>
          <w:szCs w:val="32"/>
        </w:rPr>
        <w:t>政府性基金预算财政拨款收入支出决算表</w:t>
      </w:r>
      <w:bookmarkEnd w:id="97"/>
    </w:p>
    <w:p>
      <w:pPr>
        <w:numPr>
          <w:ilvl w:val="0"/>
          <w:numId w:val="6"/>
        </w:numPr>
        <w:bidi w:val="0"/>
        <w:ind w:left="0" w:leftChars="0" w:firstLine="420" w:firstLineChars="0"/>
        <w:rPr>
          <w:rFonts w:hint="eastAsia" w:ascii="仿宋" w:hAnsi="仿宋" w:eastAsia="仿宋" w:cs="仿宋"/>
          <w:sz w:val="32"/>
          <w:szCs w:val="32"/>
        </w:rPr>
      </w:pPr>
      <w:bookmarkStart w:id="98" w:name="_Toc12385"/>
      <w:r>
        <w:rPr>
          <w:rFonts w:hint="eastAsia" w:ascii="仿宋" w:hAnsi="仿宋" w:eastAsia="仿宋" w:cs="仿宋"/>
          <w:sz w:val="32"/>
          <w:szCs w:val="32"/>
        </w:rPr>
        <w:t>国有资本经营预算财政拨款收入支出决算表</w:t>
      </w:r>
      <w:bookmarkEnd w:id="98"/>
    </w:p>
    <w:p>
      <w:pPr>
        <w:numPr>
          <w:ilvl w:val="0"/>
          <w:numId w:val="6"/>
        </w:numPr>
        <w:bidi w:val="0"/>
        <w:ind w:left="0" w:leftChars="0" w:firstLine="420" w:firstLineChars="0"/>
        <w:rPr>
          <w:rFonts w:hint="eastAsia" w:ascii="仿宋" w:hAnsi="仿宋" w:eastAsia="仿宋" w:cs="仿宋"/>
          <w:sz w:val="32"/>
          <w:szCs w:val="32"/>
        </w:rPr>
      </w:pPr>
      <w:bookmarkStart w:id="99" w:name="_Toc21057"/>
      <w:r>
        <w:rPr>
          <w:rFonts w:hint="eastAsia" w:ascii="仿宋" w:hAnsi="仿宋" w:eastAsia="仿宋" w:cs="仿宋"/>
          <w:sz w:val="32"/>
          <w:szCs w:val="32"/>
        </w:rPr>
        <w:t>国有资本经营预算财政拨款支出决算表</w:t>
      </w:r>
      <w:bookmarkEnd w:id="99"/>
    </w:p>
    <w:p>
      <w:pPr>
        <w:numPr>
          <w:ilvl w:val="0"/>
          <w:numId w:val="6"/>
        </w:numPr>
        <w:bidi w:val="0"/>
        <w:ind w:left="0" w:leftChars="0" w:firstLine="420" w:firstLineChars="0"/>
        <w:rPr>
          <w:rFonts w:hint="eastAsia" w:ascii="仿宋" w:hAnsi="仿宋" w:eastAsia="仿宋" w:cs="仿宋"/>
          <w:sz w:val="32"/>
          <w:szCs w:val="32"/>
        </w:rPr>
      </w:pPr>
      <w:bookmarkStart w:id="100" w:name="_Toc22903"/>
      <w:r>
        <w:rPr>
          <w:rFonts w:hint="eastAsia" w:ascii="仿宋" w:hAnsi="仿宋" w:eastAsia="仿宋" w:cs="仿宋"/>
          <w:sz w:val="32"/>
          <w:szCs w:val="32"/>
        </w:rPr>
        <w:t>财政拨款“三公”经费支出决算表</w:t>
      </w:r>
      <w:bookmarkEnd w:id="100"/>
    </w:p>
    <w:sectPr>
      <w:pgSz w:w="11906" w:h="16838"/>
      <w:pgMar w:top="2098" w:right="1474" w:bottom="1984" w:left="1587"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华文仿宋">
    <w:altName w:val="汉仪仿宋简"/>
    <w:panose1 w:val="02010600040101010101"/>
    <w:charset w:val="86"/>
    <w:family w:val="auto"/>
    <w:pitch w:val="default"/>
    <w:sig w:usb0="00000000" w:usb1="00000000" w:usb2="00000000" w:usb3="00000000" w:csb0="0004009F" w:csb1="DFD70000"/>
  </w:font>
  <w:font w:name="楷体">
    <w:altName w:val="方正楷体_GBK"/>
    <w:panose1 w:val="02010609060101010101"/>
    <w:charset w:val="86"/>
    <w:family w:val="modern"/>
    <w:pitch w:val="default"/>
    <w:sig w:usb0="00000000" w:usb1="00000000"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Lucida Sans">
    <w:panose1 w:val="020B0602030504020204"/>
    <w:charset w:val="00"/>
    <w:family w:val="auto"/>
    <w:pitch w:val="default"/>
    <w:sig w:usb0="00000000" w:usb1="00000000" w:usb2="00000000" w:usb3="00000000" w:csb0="00000000" w:csb1="00000000"/>
  </w:font>
  <w:font w:name="汉仪仿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等线">
    <w:altName w:val="Mangal"/>
    <w:panose1 w:val="00000000000000000000"/>
    <w:charset w:val="00"/>
    <w:family w:val="auto"/>
    <w:pitch w:val="default"/>
    <w:sig w:usb0="00000000" w:usb1="00000000" w:usb2="00000000" w:usb3="00000000" w:csb0="00000000" w:csb1="00000000"/>
  </w:font>
  <w:font w:name="Mangal">
    <w:panose1 w:val="00000400000000000000"/>
    <w:charset w:val="00"/>
    <w:family w:val="auto"/>
    <w:pitch w:val="default"/>
    <w:sig w:usb0="00008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false">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zreGk7QBAABSAwAADgAAAAAAAAABACAAAAA0AQAAZHJzL2Uyb0Rv&#10;Yy54bWxQSwUGAAAAAAYABgBZAQAAWgUAAAAA&#10;">
              <v:fill on="f" focussize="0,0"/>
              <v:stroke on="f"/>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false">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AiLcCswEAAFIDAAAOAAAAAAAAAAEAIAAAADQBAABkcnMvZTJvRG9j&#10;LnhtbFBLBQYAAAAABgAGAFkBAABZBQAAAAA=&#10;">
              <v:fill on="f" focussize="0,0"/>
              <v:stroke on="f"/>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0C66C2"/>
    <w:multiLevelType w:val="singleLevel"/>
    <w:tmpl w:val="A00C66C2"/>
    <w:lvl w:ilvl="0" w:tentative="0">
      <w:start w:val="1"/>
      <w:numFmt w:val="chineseCounting"/>
      <w:suff w:val="nothing"/>
      <w:lvlText w:val="%1、"/>
      <w:lvlJc w:val="left"/>
      <w:pPr>
        <w:ind w:left="0" w:firstLine="420"/>
      </w:pPr>
      <w:rPr>
        <w:rFonts w:hint="eastAsia" w:ascii="黑体" w:hAnsi="黑体" w:eastAsia="黑体" w:cs="黑体"/>
        <w:b w:val="0"/>
        <w:bCs w:val="0"/>
      </w:rPr>
    </w:lvl>
  </w:abstractNum>
  <w:abstractNum w:abstractNumId="1">
    <w:nsid w:val="C258BD46"/>
    <w:multiLevelType w:val="singleLevel"/>
    <w:tmpl w:val="C258BD46"/>
    <w:lvl w:ilvl="0" w:tentative="0">
      <w:start w:val="1"/>
      <w:numFmt w:val="decimal"/>
      <w:suff w:val="nothing"/>
      <w:lvlText w:val="%1."/>
      <w:lvlJc w:val="left"/>
    </w:lvl>
  </w:abstractNum>
  <w:abstractNum w:abstractNumId="2">
    <w:nsid w:val="CCA57360"/>
    <w:multiLevelType w:val="singleLevel"/>
    <w:tmpl w:val="CCA57360"/>
    <w:lvl w:ilvl="0" w:tentative="0">
      <w:start w:val="10"/>
      <w:numFmt w:val="chineseCounting"/>
      <w:suff w:val="nothing"/>
      <w:lvlText w:val="%1、"/>
      <w:lvlJc w:val="left"/>
      <w:rPr>
        <w:rFonts w:hint="eastAsia"/>
      </w:rPr>
    </w:lvl>
  </w:abstractNum>
  <w:abstractNum w:abstractNumId="3">
    <w:nsid w:val="FF1C1DFE"/>
    <w:multiLevelType w:val="singleLevel"/>
    <w:tmpl w:val="FF1C1DFE"/>
    <w:lvl w:ilvl="0" w:tentative="0">
      <w:start w:val="2"/>
      <w:numFmt w:val="chineseCounting"/>
      <w:suff w:val="nothing"/>
      <w:lvlText w:val="（%1）"/>
      <w:lvlJc w:val="left"/>
      <w:rPr>
        <w:rFonts w:hint="eastAsia"/>
      </w:rPr>
    </w:lvl>
  </w:abstractNum>
  <w:abstractNum w:abstractNumId="4">
    <w:nsid w:val="085DCBFB"/>
    <w:multiLevelType w:val="singleLevel"/>
    <w:tmpl w:val="085DCBFB"/>
    <w:lvl w:ilvl="0" w:tentative="0">
      <w:start w:val="1"/>
      <w:numFmt w:val="chineseCounting"/>
      <w:suff w:val="nothing"/>
      <w:lvlText w:val="%1、"/>
      <w:lvlJc w:val="left"/>
      <w:pPr>
        <w:ind w:left="0" w:firstLine="420"/>
      </w:pPr>
      <w:rPr>
        <w:rFonts w:hint="eastAsia" w:ascii="黑体" w:hAnsi="黑体" w:eastAsia="黑体" w:cs="黑体"/>
      </w:rPr>
    </w:lvl>
  </w:abstractNum>
  <w:abstractNum w:abstractNumId="5">
    <w:nsid w:val="3818A09A"/>
    <w:multiLevelType w:val="singleLevel"/>
    <w:tmpl w:val="3818A09A"/>
    <w:lvl w:ilvl="0" w:tentative="0">
      <w:start w:val="1"/>
      <w:numFmt w:val="chineseCounting"/>
      <w:suff w:val="nothing"/>
      <w:lvlText w:val="%1、"/>
      <w:lvlJc w:val="left"/>
      <w:rPr>
        <w:rFonts w:hint="eastAsia"/>
      </w:r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iOGMyN2E5ZDBhNWViZWM1ZWIzZjkyZjBhMGZmZDcifQ=="/>
  </w:docVars>
  <w:rsids>
    <w:rsidRoot w:val="00172A27"/>
    <w:rsid w:val="000222C6"/>
    <w:rsid w:val="0002549F"/>
    <w:rsid w:val="0002775E"/>
    <w:rsid w:val="0003529B"/>
    <w:rsid w:val="000468DB"/>
    <w:rsid w:val="000506F6"/>
    <w:rsid w:val="0006487A"/>
    <w:rsid w:val="00065F8F"/>
    <w:rsid w:val="00065FF2"/>
    <w:rsid w:val="00070A43"/>
    <w:rsid w:val="000768F2"/>
    <w:rsid w:val="000837B5"/>
    <w:rsid w:val="0008481F"/>
    <w:rsid w:val="0009184B"/>
    <w:rsid w:val="00094236"/>
    <w:rsid w:val="0009545A"/>
    <w:rsid w:val="0009593C"/>
    <w:rsid w:val="00097322"/>
    <w:rsid w:val="000A3A76"/>
    <w:rsid w:val="000A6A92"/>
    <w:rsid w:val="000B047F"/>
    <w:rsid w:val="000B5923"/>
    <w:rsid w:val="000B5A48"/>
    <w:rsid w:val="000B6FF3"/>
    <w:rsid w:val="000C3467"/>
    <w:rsid w:val="000C3CA6"/>
    <w:rsid w:val="000D1267"/>
    <w:rsid w:val="000D1D50"/>
    <w:rsid w:val="000D20E0"/>
    <w:rsid w:val="000D5782"/>
    <w:rsid w:val="000E4387"/>
    <w:rsid w:val="000E6613"/>
    <w:rsid w:val="000E7119"/>
    <w:rsid w:val="000F39EA"/>
    <w:rsid w:val="000F4342"/>
    <w:rsid w:val="00114E9B"/>
    <w:rsid w:val="001309AD"/>
    <w:rsid w:val="00130F22"/>
    <w:rsid w:val="00142216"/>
    <w:rsid w:val="00144D6A"/>
    <w:rsid w:val="0014729F"/>
    <w:rsid w:val="00157BAB"/>
    <w:rsid w:val="001654D1"/>
    <w:rsid w:val="00171BB0"/>
    <w:rsid w:val="00174518"/>
    <w:rsid w:val="001805DE"/>
    <w:rsid w:val="0018106D"/>
    <w:rsid w:val="001877A7"/>
    <w:rsid w:val="0019076E"/>
    <w:rsid w:val="00191187"/>
    <w:rsid w:val="00191536"/>
    <w:rsid w:val="00196687"/>
    <w:rsid w:val="001A0E84"/>
    <w:rsid w:val="001C0962"/>
    <w:rsid w:val="001D7531"/>
    <w:rsid w:val="001E737D"/>
    <w:rsid w:val="001F0592"/>
    <w:rsid w:val="001F7506"/>
    <w:rsid w:val="002006CD"/>
    <w:rsid w:val="00202B36"/>
    <w:rsid w:val="00204B7A"/>
    <w:rsid w:val="00204CDE"/>
    <w:rsid w:val="0021101A"/>
    <w:rsid w:val="00220536"/>
    <w:rsid w:val="0022107B"/>
    <w:rsid w:val="00235629"/>
    <w:rsid w:val="002569E0"/>
    <w:rsid w:val="00257754"/>
    <w:rsid w:val="00260C38"/>
    <w:rsid w:val="002616C0"/>
    <w:rsid w:val="00265372"/>
    <w:rsid w:val="002662AA"/>
    <w:rsid w:val="0026659E"/>
    <w:rsid w:val="00280496"/>
    <w:rsid w:val="0028477F"/>
    <w:rsid w:val="00294DC9"/>
    <w:rsid w:val="00295495"/>
    <w:rsid w:val="002A31DE"/>
    <w:rsid w:val="002B1A60"/>
    <w:rsid w:val="002B2613"/>
    <w:rsid w:val="002C5FFF"/>
    <w:rsid w:val="002D6D05"/>
    <w:rsid w:val="002F1818"/>
    <w:rsid w:val="002F567B"/>
    <w:rsid w:val="003216A9"/>
    <w:rsid w:val="00330D5B"/>
    <w:rsid w:val="00335638"/>
    <w:rsid w:val="00335A74"/>
    <w:rsid w:val="0036561B"/>
    <w:rsid w:val="0037013F"/>
    <w:rsid w:val="00380C92"/>
    <w:rsid w:val="00394958"/>
    <w:rsid w:val="003974B2"/>
    <w:rsid w:val="003A4797"/>
    <w:rsid w:val="003A484F"/>
    <w:rsid w:val="003A4883"/>
    <w:rsid w:val="003B054E"/>
    <w:rsid w:val="003B0BE0"/>
    <w:rsid w:val="003B0C1B"/>
    <w:rsid w:val="003B688C"/>
    <w:rsid w:val="003C0291"/>
    <w:rsid w:val="003C39AE"/>
    <w:rsid w:val="003C7B60"/>
    <w:rsid w:val="003D0C0F"/>
    <w:rsid w:val="003D1FB2"/>
    <w:rsid w:val="003D66DA"/>
    <w:rsid w:val="003E1310"/>
    <w:rsid w:val="003E6F55"/>
    <w:rsid w:val="003F7C12"/>
    <w:rsid w:val="00406254"/>
    <w:rsid w:val="00412996"/>
    <w:rsid w:val="00420787"/>
    <w:rsid w:val="004223DE"/>
    <w:rsid w:val="00424C4C"/>
    <w:rsid w:val="00426F54"/>
    <w:rsid w:val="00434489"/>
    <w:rsid w:val="0043494A"/>
    <w:rsid w:val="00437085"/>
    <w:rsid w:val="00443880"/>
    <w:rsid w:val="004464F4"/>
    <w:rsid w:val="00471401"/>
    <w:rsid w:val="00472999"/>
    <w:rsid w:val="00473F31"/>
    <w:rsid w:val="0048263A"/>
    <w:rsid w:val="00483745"/>
    <w:rsid w:val="00487E5D"/>
    <w:rsid w:val="004A6014"/>
    <w:rsid w:val="004A711F"/>
    <w:rsid w:val="004B199D"/>
    <w:rsid w:val="004B4690"/>
    <w:rsid w:val="004D2B2A"/>
    <w:rsid w:val="004E0A2D"/>
    <w:rsid w:val="004E206B"/>
    <w:rsid w:val="004E6DF7"/>
    <w:rsid w:val="004F0FBD"/>
    <w:rsid w:val="00505A47"/>
    <w:rsid w:val="00507C6F"/>
    <w:rsid w:val="00512FDA"/>
    <w:rsid w:val="00520DA0"/>
    <w:rsid w:val="00525354"/>
    <w:rsid w:val="005277AC"/>
    <w:rsid w:val="00551809"/>
    <w:rsid w:val="005567B7"/>
    <w:rsid w:val="005635A9"/>
    <w:rsid w:val="005664BB"/>
    <w:rsid w:val="00566FFA"/>
    <w:rsid w:val="0057481D"/>
    <w:rsid w:val="005760C7"/>
    <w:rsid w:val="0058486E"/>
    <w:rsid w:val="00585B33"/>
    <w:rsid w:val="0059014D"/>
    <w:rsid w:val="005958B6"/>
    <w:rsid w:val="005A198D"/>
    <w:rsid w:val="005A54F6"/>
    <w:rsid w:val="005B5C64"/>
    <w:rsid w:val="005C5337"/>
    <w:rsid w:val="005C6BD0"/>
    <w:rsid w:val="005D1C8B"/>
    <w:rsid w:val="005D468D"/>
    <w:rsid w:val="005D5CED"/>
    <w:rsid w:val="005F1A4C"/>
    <w:rsid w:val="005F7331"/>
    <w:rsid w:val="00605688"/>
    <w:rsid w:val="006070AF"/>
    <w:rsid w:val="00607E6C"/>
    <w:rsid w:val="006101B1"/>
    <w:rsid w:val="00614E44"/>
    <w:rsid w:val="00615079"/>
    <w:rsid w:val="0062270A"/>
    <w:rsid w:val="00622830"/>
    <w:rsid w:val="00623DA0"/>
    <w:rsid w:val="00630AEF"/>
    <w:rsid w:val="006325F8"/>
    <w:rsid w:val="00633463"/>
    <w:rsid w:val="00634C9A"/>
    <w:rsid w:val="006440E4"/>
    <w:rsid w:val="0064762E"/>
    <w:rsid w:val="0066343B"/>
    <w:rsid w:val="00664777"/>
    <w:rsid w:val="006748A4"/>
    <w:rsid w:val="00681A31"/>
    <w:rsid w:val="00682BD2"/>
    <w:rsid w:val="00683E73"/>
    <w:rsid w:val="00697BCA"/>
    <w:rsid w:val="006A3141"/>
    <w:rsid w:val="006A5E34"/>
    <w:rsid w:val="006B2422"/>
    <w:rsid w:val="006B2B9A"/>
    <w:rsid w:val="006C1937"/>
    <w:rsid w:val="006C7FE7"/>
    <w:rsid w:val="006E7167"/>
    <w:rsid w:val="006F020C"/>
    <w:rsid w:val="007127B7"/>
    <w:rsid w:val="0071798E"/>
    <w:rsid w:val="007211FC"/>
    <w:rsid w:val="00722F1E"/>
    <w:rsid w:val="007268A9"/>
    <w:rsid w:val="007416B6"/>
    <w:rsid w:val="00746F48"/>
    <w:rsid w:val="007528ED"/>
    <w:rsid w:val="0075404D"/>
    <w:rsid w:val="0076182A"/>
    <w:rsid w:val="00767B7E"/>
    <w:rsid w:val="007770C3"/>
    <w:rsid w:val="00780757"/>
    <w:rsid w:val="00784D24"/>
    <w:rsid w:val="00785FBA"/>
    <w:rsid w:val="00786E4A"/>
    <w:rsid w:val="007875EB"/>
    <w:rsid w:val="00792603"/>
    <w:rsid w:val="0079426B"/>
    <w:rsid w:val="00797B5A"/>
    <w:rsid w:val="007A2795"/>
    <w:rsid w:val="007D1682"/>
    <w:rsid w:val="007D312A"/>
    <w:rsid w:val="007D3F19"/>
    <w:rsid w:val="007E23B0"/>
    <w:rsid w:val="007E23E5"/>
    <w:rsid w:val="007F1991"/>
    <w:rsid w:val="007F2C2F"/>
    <w:rsid w:val="007F55FC"/>
    <w:rsid w:val="007F5665"/>
    <w:rsid w:val="00800112"/>
    <w:rsid w:val="00813348"/>
    <w:rsid w:val="0081373B"/>
    <w:rsid w:val="008253BB"/>
    <w:rsid w:val="0083706E"/>
    <w:rsid w:val="008408F6"/>
    <w:rsid w:val="008423A5"/>
    <w:rsid w:val="00842B37"/>
    <w:rsid w:val="00850625"/>
    <w:rsid w:val="00853718"/>
    <w:rsid w:val="00855221"/>
    <w:rsid w:val="00860645"/>
    <w:rsid w:val="00871F71"/>
    <w:rsid w:val="00872B29"/>
    <w:rsid w:val="00872FD8"/>
    <w:rsid w:val="00885AF4"/>
    <w:rsid w:val="008939CD"/>
    <w:rsid w:val="008B768C"/>
    <w:rsid w:val="008C0CC8"/>
    <w:rsid w:val="008C4DB1"/>
    <w:rsid w:val="008C4EAF"/>
    <w:rsid w:val="008C5176"/>
    <w:rsid w:val="008C7FD0"/>
    <w:rsid w:val="008D0FE5"/>
    <w:rsid w:val="008E1DE7"/>
    <w:rsid w:val="008E707C"/>
    <w:rsid w:val="00900B08"/>
    <w:rsid w:val="00902155"/>
    <w:rsid w:val="00902FA3"/>
    <w:rsid w:val="00923564"/>
    <w:rsid w:val="0092392E"/>
    <w:rsid w:val="009315F9"/>
    <w:rsid w:val="00931A9F"/>
    <w:rsid w:val="00933499"/>
    <w:rsid w:val="00935C98"/>
    <w:rsid w:val="00944047"/>
    <w:rsid w:val="00946945"/>
    <w:rsid w:val="00951248"/>
    <w:rsid w:val="0095152F"/>
    <w:rsid w:val="00954C49"/>
    <w:rsid w:val="00955E37"/>
    <w:rsid w:val="0097099F"/>
    <w:rsid w:val="00971997"/>
    <w:rsid w:val="00971FFC"/>
    <w:rsid w:val="0097208D"/>
    <w:rsid w:val="00977790"/>
    <w:rsid w:val="009845FF"/>
    <w:rsid w:val="0098660A"/>
    <w:rsid w:val="009931C3"/>
    <w:rsid w:val="009B1CA1"/>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4DA5"/>
    <w:rsid w:val="00A268C4"/>
    <w:rsid w:val="00A307CD"/>
    <w:rsid w:val="00A331C8"/>
    <w:rsid w:val="00A3504A"/>
    <w:rsid w:val="00A40A00"/>
    <w:rsid w:val="00A4142F"/>
    <w:rsid w:val="00A422EB"/>
    <w:rsid w:val="00A45BB7"/>
    <w:rsid w:val="00A51A14"/>
    <w:rsid w:val="00A56DF2"/>
    <w:rsid w:val="00A56E6E"/>
    <w:rsid w:val="00A67AB5"/>
    <w:rsid w:val="00A733B2"/>
    <w:rsid w:val="00A741C2"/>
    <w:rsid w:val="00A81AF0"/>
    <w:rsid w:val="00A86352"/>
    <w:rsid w:val="00A91760"/>
    <w:rsid w:val="00A93B00"/>
    <w:rsid w:val="00A93C21"/>
    <w:rsid w:val="00AB1141"/>
    <w:rsid w:val="00AB64C9"/>
    <w:rsid w:val="00AC3C6A"/>
    <w:rsid w:val="00AD5620"/>
    <w:rsid w:val="00AD656B"/>
    <w:rsid w:val="00AD7C1B"/>
    <w:rsid w:val="00AE16BA"/>
    <w:rsid w:val="00AE1EBE"/>
    <w:rsid w:val="00AF53B9"/>
    <w:rsid w:val="00B03C9D"/>
    <w:rsid w:val="00B060AE"/>
    <w:rsid w:val="00B10517"/>
    <w:rsid w:val="00B12414"/>
    <w:rsid w:val="00B1323B"/>
    <w:rsid w:val="00B14E76"/>
    <w:rsid w:val="00B161B8"/>
    <w:rsid w:val="00B2048C"/>
    <w:rsid w:val="00B310B9"/>
    <w:rsid w:val="00B35F3F"/>
    <w:rsid w:val="00B36CBB"/>
    <w:rsid w:val="00B425E0"/>
    <w:rsid w:val="00B440AA"/>
    <w:rsid w:val="00B44B70"/>
    <w:rsid w:val="00B508A5"/>
    <w:rsid w:val="00B517A9"/>
    <w:rsid w:val="00B526AA"/>
    <w:rsid w:val="00B53C56"/>
    <w:rsid w:val="00B564E3"/>
    <w:rsid w:val="00B57DAF"/>
    <w:rsid w:val="00B64982"/>
    <w:rsid w:val="00B77EA6"/>
    <w:rsid w:val="00B81598"/>
    <w:rsid w:val="00B841F1"/>
    <w:rsid w:val="00B944D6"/>
    <w:rsid w:val="00BB4DF0"/>
    <w:rsid w:val="00BC289F"/>
    <w:rsid w:val="00BC2D50"/>
    <w:rsid w:val="00BC5361"/>
    <w:rsid w:val="00BC5460"/>
    <w:rsid w:val="00BC6B50"/>
    <w:rsid w:val="00BD0E25"/>
    <w:rsid w:val="00BE5603"/>
    <w:rsid w:val="00BF174B"/>
    <w:rsid w:val="00BF5BD6"/>
    <w:rsid w:val="00C03E31"/>
    <w:rsid w:val="00C33E72"/>
    <w:rsid w:val="00C354B2"/>
    <w:rsid w:val="00C35554"/>
    <w:rsid w:val="00C42709"/>
    <w:rsid w:val="00C533CC"/>
    <w:rsid w:val="00C544ED"/>
    <w:rsid w:val="00C5751C"/>
    <w:rsid w:val="00C61BFC"/>
    <w:rsid w:val="00C62B85"/>
    <w:rsid w:val="00C65438"/>
    <w:rsid w:val="00C87FD8"/>
    <w:rsid w:val="00C91381"/>
    <w:rsid w:val="00C91CBB"/>
    <w:rsid w:val="00C97408"/>
    <w:rsid w:val="00CA6C60"/>
    <w:rsid w:val="00CB4E70"/>
    <w:rsid w:val="00CC09B6"/>
    <w:rsid w:val="00CC666F"/>
    <w:rsid w:val="00CD1E3F"/>
    <w:rsid w:val="00CD61A3"/>
    <w:rsid w:val="00CE44F6"/>
    <w:rsid w:val="00CE49DA"/>
    <w:rsid w:val="00CE7B61"/>
    <w:rsid w:val="00CF0F3B"/>
    <w:rsid w:val="00D00095"/>
    <w:rsid w:val="00D114F0"/>
    <w:rsid w:val="00D20620"/>
    <w:rsid w:val="00D254F7"/>
    <w:rsid w:val="00D26091"/>
    <w:rsid w:val="00D2685C"/>
    <w:rsid w:val="00D34E7C"/>
    <w:rsid w:val="00D35489"/>
    <w:rsid w:val="00D35627"/>
    <w:rsid w:val="00D36AFE"/>
    <w:rsid w:val="00D36FFC"/>
    <w:rsid w:val="00D46132"/>
    <w:rsid w:val="00D51276"/>
    <w:rsid w:val="00D55BE3"/>
    <w:rsid w:val="00D7035F"/>
    <w:rsid w:val="00DA634F"/>
    <w:rsid w:val="00DA65AC"/>
    <w:rsid w:val="00DB1913"/>
    <w:rsid w:val="00DC410D"/>
    <w:rsid w:val="00DC5A81"/>
    <w:rsid w:val="00DC68CA"/>
    <w:rsid w:val="00DC7CBA"/>
    <w:rsid w:val="00DD345A"/>
    <w:rsid w:val="00DD5F84"/>
    <w:rsid w:val="00DD73B7"/>
    <w:rsid w:val="00DF01D8"/>
    <w:rsid w:val="00DF28BC"/>
    <w:rsid w:val="00DF34B9"/>
    <w:rsid w:val="00E01053"/>
    <w:rsid w:val="00E07ACF"/>
    <w:rsid w:val="00E20AE5"/>
    <w:rsid w:val="00E331A1"/>
    <w:rsid w:val="00E33202"/>
    <w:rsid w:val="00E336A9"/>
    <w:rsid w:val="00E472B1"/>
    <w:rsid w:val="00E50624"/>
    <w:rsid w:val="00E568DF"/>
    <w:rsid w:val="00E60578"/>
    <w:rsid w:val="00E63C40"/>
    <w:rsid w:val="00E64269"/>
    <w:rsid w:val="00E818BC"/>
    <w:rsid w:val="00E82267"/>
    <w:rsid w:val="00E853CE"/>
    <w:rsid w:val="00E867B6"/>
    <w:rsid w:val="00EA010F"/>
    <w:rsid w:val="00ED1B63"/>
    <w:rsid w:val="00ED3C1F"/>
    <w:rsid w:val="00ED4085"/>
    <w:rsid w:val="00ED420E"/>
    <w:rsid w:val="00ED6FBE"/>
    <w:rsid w:val="00EE2F57"/>
    <w:rsid w:val="00EF407B"/>
    <w:rsid w:val="00EF4C34"/>
    <w:rsid w:val="00EF77C6"/>
    <w:rsid w:val="00F05438"/>
    <w:rsid w:val="00F1361C"/>
    <w:rsid w:val="00F156F0"/>
    <w:rsid w:val="00F160C7"/>
    <w:rsid w:val="00F17EA4"/>
    <w:rsid w:val="00F2408F"/>
    <w:rsid w:val="00F240E9"/>
    <w:rsid w:val="00F36D8F"/>
    <w:rsid w:val="00F417B1"/>
    <w:rsid w:val="00F45853"/>
    <w:rsid w:val="00F602DF"/>
    <w:rsid w:val="00F754A1"/>
    <w:rsid w:val="00F81FD9"/>
    <w:rsid w:val="00F841AA"/>
    <w:rsid w:val="00F84A94"/>
    <w:rsid w:val="00F87E96"/>
    <w:rsid w:val="00FA23E8"/>
    <w:rsid w:val="00FC519B"/>
    <w:rsid w:val="00FC6D22"/>
    <w:rsid w:val="00FD3CC1"/>
    <w:rsid w:val="00FD6337"/>
    <w:rsid w:val="00FF1E02"/>
    <w:rsid w:val="00FF30B4"/>
    <w:rsid w:val="01CE57B8"/>
    <w:rsid w:val="01E274B5"/>
    <w:rsid w:val="0224362A"/>
    <w:rsid w:val="03CA097D"/>
    <w:rsid w:val="03D80B70"/>
    <w:rsid w:val="053A62B5"/>
    <w:rsid w:val="0A2032A3"/>
    <w:rsid w:val="0A7669ED"/>
    <w:rsid w:val="0AAA2B3A"/>
    <w:rsid w:val="0B8A37D8"/>
    <w:rsid w:val="0CD71161"/>
    <w:rsid w:val="0E71409B"/>
    <w:rsid w:val="10C055FF"/>
    <w:rsid w:val="10EC5C5A"/>
    <w:rsid w:val="118107EC"/>
    <w:rsid w:val="11DD6519"/>
    <w:rsid w:val="142D2812"/>
    <w:rsid w:val="16BB723D"/>
    <w:rsid w:val="18015F3F"/>
    <w:rsid w:val="1BE8440E"/>
    <w:rsid w:val="1D155CEE"/>
    <w:rsid w:val="1D4B5AB7"/>
    <w:rsid w:val="1EAE2E9E"/>
    <w:rsid w:val="2004675B"/>
    <w:rsid w:val="204826A1"/>
    <w:rsid w:val="20992FDD"/>
    <w:rsid w:val="20F57F95"/>
    <w:rsid w:val="22636841"/>
    <w:rsid w:val="23072480"/>
    <w:rsid w:val="240371BF"/>
    <w:rsid w:val="24B75855"/>
    <w:rsid w:val="25711CC6"/>
    <w:rsid w:val="25C741E6"/>
    <w:rsid w:val="27842671"/>
    <w:rsid w:val="27DE4339"/>
    <w:rsid w:val="28560A38"/>
    <w:rsid w:val="29FD04D3"/>
    <w:rsid w:val="2AA131BA"/>
    <w:rsid w:val="2ABE7A3E"/>
    <w:rsid w:val="2AF00075"/>
    <w:rsid w:val="2CA234A8"/>
    <w:rsid w:val="2D3A16A4"/>
    <w:rsid w:val="2D9E1C33"/>
    <w:rsid w:val="2DBD477A"/>
    <w:rsid w:val="2E0F29B4"/>
    <w:rsid w:val="2EFA178C"/>
    <w:rsid w:val="2FDE27BA"/>
    <w:rsid w:val="303E3E0C"/>
    <w:rsid w:val="305667F5"/>
    <w:rsid w:val="30B46D73"/>
    <w:rsid w:val="30DD2661"/>
    <w:rsid w:val="319F7F4E"/>
    <w:rsid w:val="32270449"/>
    <w:rsid w:val="3278141B"/>
    <w:rsid w:val="32AA2E28"/>
    <w:rsid w:val="340053F5"/>
    <w:rsid w:val="354E3E8E"/>
    <w:rsid w:val="3758038A"/>
    <w:rsid w:val="383D272C"/>
    <w:rsid w:val="389B56ED"/>
    <w:rsid w:val="38E31684"/>
    <w:rsid w:val="39AE70AB"/>
    <w:rsid w:val="3C0C0783"/>
    <w:rsid w:val="3EDA73ED"/>
    <w:rsid w:val="3F1E7381"/>
    <w:rsid w:val="3F316DAB"/>
    <w:rsid w:val="3F9F3A96"/>
    <w:rsid w:val="3FC75019"/>
    <w:rsid w:val="41630D72"/>
    <w:rsid w:val="42E36B0E"/>
    <w:rsid w:val="42F740C0"/>
    <w:rsid w:val="43525542"/>
    <w:rsid w:val="44F63366"/>
    <w:rsid w:val="46116FEE"/>
    <w:rsid w:val="48BF60AB"/>
    <w:rsid w:val="48DF1360"/>
    <w:rsid w:val="49334868"/>
    <w:rsid w:val="493C27E9"/>
    <w:rsid w:val="496F39ED"/>
    <w:rsid w:val="49FF41D3"/>
    <w:rsid w:val="4AEF1AAB"/>
    <w:rsid w:val="4BE068DB"/>
    <w:rsid w:val="4BF6002B"/>
    <w:rsid w:val="4C523EBC"/>
    <w:rsid w:val="4DF45108"/>
    <w:rsid w:val="4E2A50F1"/>
    <w:rsid w:val="4E3801CC"/>
    <w:rsid w:val="4ECE2238"/>
    <w:rsid w:val="51C84257"/>
    <w:rsid w:val="51DB4B86"/>
    <w:rsid w:val="5218298C"/>
    <w:rsid w:val="52D973DB"/>
    <w:rsid w:val="53065A01"/>
    <w:rsid w:val="55333C3E"/>
    <w:rsid w:val="5A1D0200"/>
    <w:rsid w:val="5A3C21B4"/>
    <w:rsid w:val="5BD20B76"/>
    <w:rsid w:val="5C9127DF"/>
    <w:rsid w:val="5D4718F8"/>
    <w:rsid w:val="5D67545B"/>
    <w:rsid w:val="60DA0BF8"/>
    <w:rsid w:val="61BB46A5"/>
    <w:rsid w:val="63E5117A"/>
    <w:rsid w:val="64987C6E"/>
    <w:rsid w:val="64CA39A1"/>
    <w:rsid w:val="656D2C75"/>
    <w:rsid w:val="66482160"/>
    <w:rsid w:val="69630ADE"/>
    <w:rsid w:val="69E37720"/>
    <w:rsid w:val="69FE5CEF"/>
    <w:rsid w:val="6A1C5A27"/>
    <w:rsid w:val="6A614DC2"/>
    <w:rsid w:val="6B53D109"/>
    <w:rsid w:val="6C4A05C8"/>
    <w:rsid w:val="6CDFDD20"/>
    <w:rsid w:val="6D3B1A89"/>
    <w:rsid w:val="6D4C7318"/>
    <w:rsid w:val="6FB22E58"/>
    <w:rsid w:val="6FFF94FD"/>
    <w:rsid w:val="70182BA3"/>
    <w:rsid w:val="71BF4EC2"/>
    <w:rsid w:val="72094499"/>
    <w:rsid w:val="72734D90"/>
    <w:rsid w:val="73DF1F7A"/>
    <w:rsid w:val="7412278C"/>
    <w:rsid w:val="7571060B"/>
    <w:rsid w:val="759F48C3"/>
    <w:rsid w:val="76337739"/>
    <w:rsid w:val="79E7B28D"/>
    <w:rsid w:val="7B491CEB"/>
    <w:rsid w:val="7B6DC811"/>
    <w:rsid w:val="7C227817"/>
    <w:rsid w:val="7E8458A8"/>
    <w:rsid w:val="7ED246DC"/>
    <w:rsid w:val="7F9D30C5"/>
    <w:rsid w:val="7F9F20EE"/>
    <w:rsid w:val="7FB328E9"/>
    <w:rsid w:val="8EFDE9AC"/>
    <w:rsid w:val="957E6477"/>
    <w:rsid w:val="9E3A10E2"/>
    <w:rsid w:val="CDFA1950"/>
    <w:rsid w:val="D7B7B19D"/>
    <w:rsid w:val="EBCFA97B"/>
    <w:rsid w:val="EFFF084C"/>
    <w:rsid w:val="F2E1F9D4"/>
    <w:rsid w:val="F7880819"/>
    <w:rsid w:val="FCFF7C1B"/>
    <w:rsid w:val="FF3F6FB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4"/>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标题 1 Char"/>
    <w:basedOn w:val="13"/>
    <w:link w:val="2"/>
    <w:qFormat/>
    <w:uiPriority w:val="9"/>
    <w:rPr>
      <w:rFonts w:ascii="Times New Roman" w:hAnsi="Times New Roman"/>
      <w:b/>
      <w:bCs/>
      <w:kern w:val="44"/>
      <w:sz w:val="44"/>
      <w:szCs w:val="44"/>
    </w:rPr>
  </w:style>
  <w:style w:type="character" w:customStyle="1" w:styleId="17">
    <w:name w:val="标题 2 Char"/>
    <w:basedOn w:val="13"/>
    <w:link w:val="3"/>
    <w:qFormat/>
    <w:uiPriority w:val="9"/>
    <w:rPr>
      <w:rFonts w:asciiTheme="majorHAnsi" w:hAnsiTheme="majorHAnsi" w:eastAsiaTheme="majorEastAsia" w:cstheme="majorBidi"/>
      <w:b/>
      <w:bCs/>
      <w:kern w:val="2"/>
      <w:sz w:val="32"/>
      <w:szCs w:val="32"/>
    </w:rPr>
  </w:style>
  <w:style w:type="character" w:customStyle="1" w:styleId="18">
    <w:name w:val="标题 3 Char"/>
    <w:basedOn w:val="13"/>
    <w:link w:val="4"/>
    <w:qFormat/>
    <w:uiPriority w:val="9"/>
    <w:rPr>
      <w:rFonts w:ascii="Times New Roman" w:hAnsi="Times New Roman"/>
      <w:b/>
      <w:bCs/>
      <w:kern w:val="2"/>
      <w:sz w:val="32"/>
      <w:szCs w:val="32"/>
    </w:rPr>
  </w:style>
  <w:style w:type="character" w:customStyle="1" w:styleId="19">
    <w:name w:val="Header Char"/>
    <w:basedOn w:val="13"/>
    <w:semiHidden/>
    <w:qFormat/>
    <w:uiPriority w:val="99"/>
    <w:rPr>
      <w:rFonts w:ascii="Times New Roman" w:hAnsi="Times New Roman"/>
      <w:sz w:val="18"/>
      <w:szCs w:val="18"/>
    </w:rPr>
  </w:style>
  <w:style w:type="character" w:customStyle="1" w:styleId="20">
    <w:name w:val="页眉 Char"/>
    <w:link w:val="9"/>
    <w:semiHidden/>
    <w:qFormat/>
    <w:locked/>
    <w:uiPriority w:val="99"/>
    <w:rPr>
      <w:sz w:val="18"/>
    </w:rPr>
  </w:style>
  <w:style w:type="character" w:customStyle="1" w:styleId="21">
    <w:name w:val="Footer Char"/>
    <w:basedOn w:val="13"/>
    <w:semiHidden/>
    <w:qFormat/>
    <w:uiPriority w:val="99"/>
    <w:rPr>
      <w:rFonts w:ascii="Times New Roman" w:hAnsi="Times New Roman"/>
      <w:sz w:val="18"/>
      <w:szCs w:val="18"/>
    </w:rPr>
  </w:style>
  <w:style w:type="character" w:customStyle="1" w:styleId="22">
    <w:name w:val="页脚 Char"/>
    <w:link w:val="8"/>
    <w:qFormat/>
    <w:locked/>
    <w:uiPriority w:val="99"/>
    <w:rPr>
      <w:sz w:val="18"/>
    </w:rPr>
  </w:style>
  <w:style w:type="character" w:customStyle="1" w:styleId="23">
    <w:name w:val="Body Text Char"/>
    <w:basedOn w:val="13"/>
    <w:semiHidden/>
    <w:qFormat/>
    <w:uiPriority w:val="99"/>
    <w:rPr>
      <w:rFonts w:ascii="Times New Roman" w:hAnsi="Times New Roman"/>
      <w:szCs w:val="24"/>
    </w:rPr>
  </w:style>
  <w:style w:type="character" w:customStyle="1" w:styleId="24">
    <w:name w:val="正文文本 Char"/>
    <w:link w:val="5"/>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99"/>
    <w:pPr>
      <w:ind w:firstLine="420" w:firstLineChars="200"/>
    </w:p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3"/>
    <w:link w:val="7"/>
    <w:semiHidden/>
    <w:qFormat/>
    <w:uiPriority w:val="99"/>
    <w:rPr>
      <w:rFonts w:ascii="Times New Roman" w:hAnsi="Times New Roman"/>
      <w:kern w:val="2"/>
      <w:sz w:val="18"/>
      <w:szCs w:val="18"/>
    </w:rPr>
  </w:style>
  <w:style w:type="paragraph" w:customStyle="1" w:styleId="29">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15"/>
    <w:basedOn w:val="13"/>
    <w:qFormat/>
    <w:uiPriority w:val="0"/>
    <w:rPr>
      <w:rFonts w:hint="default" w:ascii="Times New Roman" w:hAnsi="Times New Roman" w:cs="Times New Roman"/>
      <w:b/>
    </w:rPr>
  </w:style>
  <w:style w:type="paragraph" w:customStyle="1" w:styleId="31">
    <w:name w:val="WPSOffice手动目录 1"/>
    <w:qFormat/>
    <w:uiPriority w:val="0"/>
    <w:pPr>
      <w:ind w:leftChars="0"/>
    </w:pPr>
    <w:rPr>
      <w:rFonts w:ascii="Times New Roman" w:hAnsi="Times New Roman" w:eastAsia="宋体" w:cs="Times New Roman"/>
      <w:sz w:val="20"/>
      <w:szCs w:val="20"/>
    </w:rPr>
  </w:style>
  <w:style w:type="paragraph" w:customStyle="1" w:styleId="32">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收、支决算总计变动情况图</a:t>
            </a:r>
            <a:endParaRPr lang="en-US" altLang="zh-CN"/>
          </a:p>
        </c:rich>
      </c:tx>
      <c:layout>
        <c:manualLayout>
          <c:xMode val="edge"/>
          <c:yMode val="edge"/>
          <c:x val="0.309293333184834"/>
          <c:y val="0.0213151837505943"/>
        </c:manualLayout>
      </c:layout>
      <c:overlay val="false"/>
      <c:spPr>
        <a:noFill/>
        <a:ln>
          <a:noFill/>
        </a:ln>
        <a:effectLst/>
      </c:spPr>
    </c:title>
    <c:autoTitleDeleted val="false"/>
    <c:plotArea>
      <c:layout>
        <c:manualLayout>
          <c:layoutTarget val="inner"/>
          <c:xMode val="edge"/>
          <c:yMode val="edge"/>
          <c:x val="0.07968108238705"/>
          <c:y val="0.178708032299195"/>
          <c:w val="0.885769509543368"/>
          <c:h val="0.671780705482363"/>
        </c:manualLayout>
      </c:layout>
      <c:barChart>
        <c:barDir val="col"/>
        <c:grouping val="clustered"/>
        <c:varyColors val="false"/>
        <c:ser>
          <c:idx val="0"/>
          <c:order val="0"/>
          <c:tx>
            <c:strRef>
              <c:f>Sheet1!$B$1</c:f>
              <c:strCache>
                <c:ptCount val="1"/>
                <c:pt idx="0">
                  <c:v>2023年</c:v>
                </c:pt>
              </c:strCache>
            </c:strRef>
          </c:tx>
          <c:spPr>
            <a:solidFill>
              <a:srgbClr val="907876"/>
            </a:solidFill>
            <a:ln>
              <a:noFill/>
            </a:ln>
            <a:effectLst/>
          </c:spPr>
          <c:invertIfNegative val="false"/>
          <c:dLbls>
            <c:dLbl>
              <c:idx val="0"/>
              <c:layout>
                <c:manualLayout>
                  <c:x val="0.00289925102681808"/>
                  <c:y val="-0.0615657438084412"/>
                </c:manualLayout>
              </c:layout>
              <c:dLblPos val="in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forceAA="false"/>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收支</c:v>
                </c:pt>
              </c:strCache>
            </c:strRef>
          </c:cat>
          <c:val>
            <c:numRef>
              <c:f>Sheet1!$B$2</c:f>
              <c:numCache>
                <c:formatCode>General</c:formatCode>
                <c:ptCount val="1"/>
                <c:pt idx="0">
                  <c:v>528.09</c:v>
                </c:pt>
              </c:numCache>
            </c:numRef>
          </c:val>
        </c:ser>
        <c:ser>
          <c:idx val="1"/>
          <c:order val="1"/>
          <c:tx>
            <c:strRef>
              <c:f>Sheet1!$C$1</c:f>
              <c:strCache>
                <c:ptCount val="1"/>
                <c:pt idx="0">
                  <c:v>2024年</c:v>
                </c:pt>
              </c:strCache>
            </c:strRef>
          </c:tx>
          <c:spPr>
            <a:solidFill>
              <a:srgbClr val="EE5037"/>
            </a:solidFill>
            <a:ln>
              <a:noFill/>
            </a:ln>
            <a:effectLst/>
          </c:spPr>
          <c:invertIfNegative val="false"/>
          <c:dLbls>
            <c:dLbl>
              <c:idx val="0"/>
              <c:layout>
                <c:manualLayout>
                  <c:x val="0.00482713633398565"/>
                  <c:y val="-0.0962964077039675"/>
                </c:manualLayout>
              </c:layout>
              <c:dLblPos val="in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forceAA="false"/>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收支</c:v>
                </c:pt>
              </c:strCache>
            </c:strRef>
          </c:cat>
          <c:val>
            <c:numRef>
              <c:f>Sheet1!$C$2</c:f>
              <c:numCache>
                <c:formatCode>General</c:formatCode>
                <c:ptCount val="1"/>
                <c:pt idx="0">
                  <c:v>465.01</c:v>
                </c:pt>
              </c:numCache>
            </c:numRef>
          </c:val>
        </c:ser>
        <c:dLbls>
          <c:showLegendKey val="false"/>
          <c:showVal val="true"/>
          <c:showCatName val="false"/>
          <c:showSerName val="false"/>
          <c:showPercent val="false"/>
          <c:showBubbleSize val="false"/>
        </c:dLbls>
        <c:gapWidth val="298"/>
        <c:overlap val="-7"/>
        <c:axId val="54167808"/>
        <c:axId val="54180480"/>
      </c:barChart>
      <c:catAx>
        <c:axId val="54167808"/>
        <c:scaling>
          <c:orientation val="minMax"/>
        </c:scaling>
        <c:delete val="false"/>
        <c:axPos val="b"/>
        <c:numFmt formatCode="General" sourceLinked="tru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forceAA="false"/>
          <a:lstStyle/>
          <a:p>
            <a:pPr>
              <a:defRPr lang="zh-CN" sz="900" b="0" i="0" u="none" strike="noStrike" kern="1200" baseline="0">
                <a:solidFill>
                  <a:schemeClr val="tx1">
                    <a:lumMod val="65000"/>
                    <a:lumOff val="35000"/>
                  </a:schemeClr>
                </a:solidFill>
                <a:latin typeface="+mn-lt"/>
                <a:ea typeface="+mn-ea"/>
                <a:cs typeface="+mn-cs"/>
              </a:defRPr>
            </a:pPr>
          </a:p>
        </c:txPr>
        <c:crossAx val="54180480"/>
        <c:crosses val="autoZero"/>
        <c:auto val="true"/>
        <c:lblAlgn val="ctr"/>
        <c:lblOffset val="100"/>
        <c:noMultiLvlLbl val="false"/>
      </c:catAx>
      <c:valAx>
        <c:axId val="54180480"/>
        <c:scaling>
          <c:orientation val="minMax"/>
          <c:max val="500"/>
          <c:min val="0"/>
        </c:scaling>
        <c:delete val="false"/>
        <c:axPos val="l"/>
        <c:numFmt formatCode="General"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forceAA="false"/>
          <a:lstStyle/>
          <a:p>
            <a:pPr>
              <a:defRPr lang="zh-CN" sz="900" b="0" i="0" u="none" strike="noStrike" kern="1200" baseline="0">
                <a:solidFill>
                  <a:schemeClr val="tx1">
                    <a:lumMod val="65000"/>
                    <a:lumOff val="35000"/>
                  </a:schemeClr>
                </a:solidFill>
                <a:latin typeface="+mn-lt"/>
                <a:ea typeface="+mn-ea"/>
                <a:cs typeface="+mn-cs"/>
              </a:defRPr>
            </a:pPr>
          </a:p>
        </c:txPr>
        <c:crossAx val="54167808"/>
        <c:crosses val="autoZero"/>
        <c:crossBetween val="between"/>
      </c:valAx>
      <c:spPr>
        <a:pattFill prst="wdUpDiag">
          <a:fgClr>
            <a:schemeClr val="bg1">
              <a:lumMod val="95000"/>
            </a:schemeClr>
          </a:fgClr>
          <a:bgClr>
            <a:schemeClr val="bg1"/>
          </a:bgClr>
        </a:pattFill>
        <a:ln>
          <a:solidFill>
            <a:schemeClr val="bg1">
              <a:lumMod val="95000"/>
            </a:schemeClr>
          </a:solidFill>
        </a:ln>
        <a:effectLst/>
      </c:spPr>
    </c:plotArea>
    <c:legend>
      <c:legendPos val="t"/>
      <c:layout>
        <c:manualLayout>
          <c:xMode val="edge"/>
          <c:yMode val="edge"/>
          <c:x val="0.426817506971138"/>
          <c:y val="0.922439439014025"/>
        </c:manualLayout>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solidFill>
            <a:schemeClr val="tx1">
              <a:lumMod val="65000"/>
              <a:lumOff val="35000"/>
            </a:schemeClr>
          </a:solidFill>
        </a:defRPr>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1" i="0" u="none" strike="noStrike" kern="1200" baseline="0">
              <a:solidFill>
                <a:schemeClr val="tx1">
                  <a:lumMod val="75000"/>
                  <a:lumOff val="25000"/>
                </a:schemeClr>
              </a:solidFill>
              <a:latin typeface="+mn-lt"/>
              <a:ea typeface="+mn-ea"/>
              <a:cs typeface="+mn-cs"/>
            </a:defRPr>
          </a:pPr>
        </a:p>
      </c:txPr>
    </c:title>
    <c:autoTitleDeleted val="false"/>
    <c:plotArea>
      <c:layout/>
      <c:pieChart>
        <c:varyColors val="true"/>
        <c:ser>
          <c:idx val="0"/>
          <c:order val="0"/>
          <c:tx>
            <c:strRef>
              <c:f>Sheet1!$B$1</c:f>
              <c:strCache>
                <c:ptCount val="1"/>
                <c:pt idx="0">
                  <c:v>收入决算结构图</c:v>
                </c:pt>
              </c:strCache>
            </c:strRef>
          </c:tx>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Lbls>
            <c:dLbl>
              <c:idx val="0"/>
              <c:layout>
                <c:manualLayout>
                  <c:x val="0.265026587112616"/>
                  <c:y val="0"/>
                </c:manualLayout>
              </c:layout>
              <c:numFmt formatCode="0.00%" sourceLinked="fals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true"/>
              <c:showVal val="false"/>
              <c:showCatName val="true"/>
              <c:showSerName val="false"/>
              <c:showPercent val="true"/>
              <c:showBubbleSize val="false"/>
              <c:separator> </c:separator>
              <c:extLst>
                <c:ext xmlns:c15="http://schemas.microsoft.com/office/drawing/2012/chart" uri="{CE6537A1-D6FC-4f65-9D91-7224C49458BB}">
                  <c15:layout>
                    <c:manualLayout>
                      <c:w val="0.284242570669244"/>
                      <c:h val="0.124521886952826"/>
                    </c:manualLayout>
                  </c15:layout>
                </c:ext>
              </c:extLst>
            </c:dLbl>
            <c:dLbl>
              <c:idx val="1"/>
              <c:layout>
                <c:manualLayout>
                  <c:x val="-0.0223483933317226"/>
                  <c:y val="-0.00871228219294518"/>
                </c:manualLayout>
              </c:layout>
              <c:numFmt formatCode="0.00%" sourceLinked="fals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true"/>
              <c:showVal val="false"/>
              <c:showCatName val="true"/>
              <c:showSerName val="false"/>
              <c:showPercent val="true"/>
              <c:showBubbleSize val="false"/>
              <c:separator> </c:separator>
              <c:extLst>
                <c:ext xmlns:c15="http://schemas.microsoft.com/office/drawing/2012/chart" uri="{CE6537A1-D6FC-4f65-9D91-7224C49458BB}">
                  <c15:layout>
                    <c:manualLayout>
                      <c:w val="0.243623398917206"/>
                      <c:h val="0.0716999050332384"/>
                    </c:manualLayout>
                  </c15:layout>
                </c:ext>
              </c:extLst>
            </c:dLbl>
            <c:numFmt formatCode="0.00%" sourceLinked="fals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true"/>
            <c:showVal val="false"/>
            <c:showCatName val="true"/>
            <c:showSerName val="false"/>
            <c:showPercent val="true"/>
            <c:showBubbleSize val="false"/>
            <c:separator> </c:separator>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463.34</c:v>
                </c:pt>
                <c:pt idx="1">
                  <c:v>1.27</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182"/>
    </mc:Choice>
    <mc:Fallback>
      <c:style val="1008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overlay val="false"/>
      <c:spPr>
        <a:noFill/>
        <a:ln>
          <a:noFill/>
        </a:ln>
        <a:effectLst/>
      </c:spPr>
    </c:title>
    <c:autoTitleDeleted val="false"/>
    <c:plotArea>
      <c:layout/>
      <c:pieChart>
        <c:varyColors val="true"/>
        <c:ser>
          <c:idx val="0"/>
          <c:order val="0"/>
          <c:tx>
            <c:strRef>
              <c:f>Sheet1!$B$1</c:f>
              <c:strCache>
                <c:ptCount val="1"/>
                <c:pt idx="0">
                  <c:v>支出决算结构图</c:v>
                </c:pt>
              </c:strCache>
            </c:strRef>
          </c:tx>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Lbls>
            <c:dLbl>
              <c:idx val="0"/>
              <c:layout>
                <c:manualLayout>
                  <c:x val="0.0441575684320982"/>
                  <c:y val="-0.0434605427534616"/>
                </c:manualLayout>
              </c:layout>
              <c:dLblPos val="bestFit"/>
              <c:showLegendKey val="true"/>
              <c:showVal val="false"/>
              <c:showCatName val="true"/>
              <c:showSerName val="false"/>
              <c:showPercent val="true"/>
              <c:showBubbleSize val="false"/>
              <c:separator> </c:separator>
              <c:extLst>
                <c:ext xmlns:c15="http://schemas.microsoft.com/office/drawing/2012/chart" uri="{CE6537A1-D6FC-4f65-9D91-7224C49458BB}">
                  <c15:layout/>
                </c:ext>
              </c:extLst>
            </c:dLbl>
            <c:dLbl>
              <c:idx val="1"/>
              <c:layout>
                <c:manualLayout>
                  <c:x val="-0.0302478501025816"/>
                  <c:y val="-0.0168126854075803"/>
                </c:manualLayout>
              </c:layout>
              <c:dLblPos val="bestFit"/>
              <c:showLegendKey val="true"/>
              <c:showVal val="false"/>
              <c:showCatName val="true"/>
              <c:showSerName val="false"/>
              <c:showPercent val="true"/>
              <c:showBubbleSize val="false"/>
              <c:separator> </c:separator>
              <c:extLst>
                <c:ext xmlns:c15="http://schemas.microsoft.com/office/drawing/2012/chart" uri="{CE6537A1-D6FC-4f65-9D91-7224C49458BB}">
                  <c15:layout/>
                </c:ext>
              </c:extLst>
            </c:dLbl>
            <c:numFmt formatCode="0.00%" sourceLinked="fals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true"/>
            <c:showVal val="false"/>
            <c:showCatName val="true"/>
            <c:showSerName val="false"/>
            <c:showPercent val="true"/>
            <c:showBubbleSize val="false"/>
            <c:separator> </c:separator>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209.87</c:v>
                </c:pt>
                <c:pt idx="1">
                  <c:v>255.08</c:v>
                </c:pt>
              </c:numCache>
            </c:numRef>
          </c:val>
        </c:ser>
        <c:dLbls>
          <c:showLegendKey val="true"/>
          <c:showVal val="true"/>
          <c:showCatName val="true"/>
          <c:showSerName val="false"/>
          <c:showPercent val="fals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财政拨款收、支决算总计变动情况图</a:t>
            </a:r>
            <a:endParaRPr lang="en-US" altLang="zh-CN"/>
          </a:p>
        </c:rich>
      </c:tx>
      <c:layout>
        <c:manualLayout>
          <c:xMode val="edge"/>
          <c:yMode val="edge"/>
          <c:x val="0.224691954578401"/>
          <c:y val="0.0324146454101221"/>
        </c:manualLayout>
      </c:layout>
      <c:overlay val="false"/>
      <c:spPr>
        <a:noFill/>
        <a:ln>
          <a:noFill/>
        </a:ln>
        <a:effectLst/>
      </c:spPr>
    </c:title>
    <c:autoTitleDeleted val="false"/>
    <c:plotArea>
      <c:layout>
        <c:manualLayout>
          <c:layoutTarget val="inner"/>
          <c:xMode val="edge"/>
          <c:yMode val="edge"/>
          <c:x val="0.0755905451631613"/>
          <c:y val="0.175224520919724"/>
          <c:w val="0.885769509543368"/>
          <c:h val="0.671780705482363"/>
        </c:manualLayout>
      </c:layout>
      <c:barChart>
        <c:barDir val="col"/>
        <c:grouping val="clustered"/>
        <c:varyColors val="false"/>
        <c:ser>
          <c:idx val="0"/>
          <c:order val="0"/>
          <c:tx>
            <c:strRef>
              <c:f>Sheet1!$B$1</c:f>
              <c:strCache>
                <c:ptCount val="1"/>
                <c:pt idx="0">
                  <c:v>2023年</c:v>
                </c:pt>
              </c:strCache>
            </c:strRef>
          </c:tx>
          <c:spPr>
            <a:solidFill>
              <a:srgbClr val="907876"/>
            </a:solidFill>
            <a:ln>
              <a:noFill/>
            </a:ln>
            <a:effectLst/>
          </c:spPr>
          <c:invertIfNegative val="false"/>
          <c:dLbls>
            <c:dLbl>
              <c:idx val="0"/>
              <c:layout>
                <c:manualLayout>
                  <c:x val="0.00122561085945404"/>
                  <c:y val="-0.052710799768971"/>
                </c:manualLayout>
              </c:layout>
              <c:dLblPos val="in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forceAA="false"/>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财政拨款收入、支出</c:v>
                </c:pt>
              </c:strCache>
            </c:strRef>
          </c:cat>
          <c:val>
            <c:numRef>
              <c:f>Sheet1!$B$2</c:f>
              <c:numCache>
                <c:formatCode>General</c:formatCode>
                <c:ptCount val="1"/>
                <c:pt idx="0">
                  <c:v>527.62</c:v>
                </c:pt>
              </c:numCache>
            </c:numRef>
          </c:val>
        </c:ser>
        <c:ser>
          <c:idx val="1"/>
          <c:order val="1"/>
          <c:tx>
            <c:strRef>
              <c:f>Sheet1!$C$1</c:f>
              <c:strCache>
                <c:ptCount val="1"/>
                <c:pt idx="0">
                  <c:v>2024年</c:v>
                </c:pt>
              </c:strCache>
            </c:strRef>
          </c:tx>
          <c:spPr>
            <a:solidFill>
              <a:srgbClr val="EE5037"/>
            </a:solidFill>
            <a:ln>
              <a:noFill/>
            </a:ln>
            <a:effectLst/>
          </c:spPr>
          <c:invertIfNegative val="false"/>
          <c:dLbls>
            <c:dLbl>
              <c:idx val="0"/>
              <c:layout>
                <c:manualLayout>
                  <c:x val="0"/>
                  <c:y val="-0.0924947279290903"/>
                </c:manualLayout>
              </c:layout>
              <c:dLblPos val="in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forceAA="false"/>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财政拨款收入、支出</c:v>
                </c:pt>
              </c:strCache>
            </c:strRef>
          </c:cat>
          <c:val>
            <c:numRef>
              <c:f>Sheet1!$C$2</c:f>
              <c:numCache>
                <c:formatCode>General</c:formatCode>
                <c:ptCount val="1"/>
                <c:pt idx="0">
                  <c:v>463.74</c:v>
                </c:pt>
              </c:numCache>
            </c:numRef>
          </c:val>
        </c:ser>
        <c:dLbls>
          <c:showLegendKey val="false"/>
          <c:showVal val="true"/>
          <c:showCatName val="false"/>
          <c:showSerName val="false"/>
          <c:showPercent val="false"/>
          <c:showBubbleSize val="false"/>
        </c:dLbls>
        <c:gapWidth val="298"/>
        <c:overlap val="-7"/>
        <c:axId val="60207488"/>
        <c:axId val="60209408"/>
      </c:barChart>
      <c:catAx>
        <c:axId val="60207488"/>
        <c:scaling>
          <c:orientation val="minMax"/>
        </c:scaling>
        <c:delete val="false"/>
        <c:axPos val="b"/>
        <c:numFmt formatCode="General" sourceLinked="tru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forceAA="false"/>
          <a:lstStyle/>
          <a:p>
            <a:pPr>
              <a:defRPr lang="zh-CN" sz="900" b="0" i="0" u="none" strike="noStrike" kern="1200" baseline="0">
                <a:solidFill>
                  <a:schemeClr val="tx1">
                    <a:lumMod val="65000"/>
                    <a:lumOff val="35000"/>
                  </a:schemeClr>
                </a:solidFill>
                <a:latin typeface="+mn-lt"/>
                <a:ea typeface="+mn-ea"/>
                <a:cs typeface="+mn-cs"/>
              </a:defRPr>
            </a:pPr>
          </a:p>
        </c:txPr>
        <c:crossAx val="60209408"/>
        <c:crosses val="autoZero"/>
        <c:auto val="true"/>
        <c:lblAlgn val="ctr"/>
        <c:lblOffset val="100"/>
        <c:noMultiLvlLbl val="false"/>
      </c:catAx>
      <c:valAx>
        <c:axId val="60209408"/>
        <c:scaling>
          <c:orientation val="minMax"/>
          <c:max val="500"/>
          <c:min val="0"/>
        </c:scaling>
        <c:delete val="false"/>
        <c:axPos val="l"/>
        <c:numFmt formatCode="General"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forceAA="false"/>
          <a:lstStyle/>
          <a:p>
            <a:pPr>
              <a:defRPr lang="zh-CN" sz="900" b="0" i="0" u="none" strike="noStrike" kern="1200" baseline="0">
                <a:solidFill>
                  <a:schemeClr val="tx1">
                    <a:lumMod val="65000"/>
                    <a:lumOff val="35000"/>
                  </a:schemeClr>
                </a:solidFill>
                <a:latin typeface="+mn-lt"/>
                <a:ea typeface="+mn-ea"/>
                <a:cs typeface="+mn-cs"/>
              </a:defRPr>
            </a:pPr>
          </a:p>
        </c:txPr>
        <c:crossAx val="60207488"/>
        <c:crosses val="autoZero"/>
        <c:crossBetween val="between"/>
      </c:valAx>
      <c:spPr>
        <a:pattFill prst="wdUpDiag">
          <a:fgClr>
            <a:schemeClr val="bg1">
              <a:lumMod val="95000"/>
            </a:schemeClr>
          </a:fgClr>
          <a:bgClr>
            <a:schemeClr val="bg1"/>
          </a:bgClr>
        </a:pattFill>
        <a:ln>
          <a:solidFill>
            <a:schemeClr val="bg1">
              <a:lumMod val="95000"/>
            </a:schemeClr>
          </a:solidFill>
        </a:ln>
        <a:effectLst/>
      </c:spPr>
    </c:plotArea>
    <c:legend>
      <c:legendPos val="t"/>
      <c:layout>
        <c:manualLayout>
          <c:xMode val="edge"/>
          <c:yMode val="edge"/>
          <c:x val="0.426817506971138"/>
          <c:y val="0.922439439014025"/>
        </c:manualLayout>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solidFill>
            <a:schemeClr val="tx1">
              <a:lumMod val="65000"/>
              <a:lumOff val="35000"/>
            </a:schemeClr>
          </a:solidFill>
        </a:defRPr>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一般公共预算财政拨款支出决算变动情况</a:t>
            </a:r>
            <a:endParaRPr lang="en-US" altLang="zh-CN"/>
          </a:p>
        </c:rich>
      </c:tx>
      <c:layout>
        <c:manualLayout>
          <c:xMode val="edge"/>
          <c:yMode val="edge"/>
          <c:x val="0.24358184648654"/>
          <c:y val="0.026461083195397"/>
        </c:manualLayout>
      </c:layout>
      <c:overlay val="false"/>
      <c:spPr>
        <a:noFill/>
        <a:ln>
          <a:noFill/>
        </a:ln>
        <a:effectLst/>
      </c:spPr>
    </c:title>
    <c:autoTitleDeleted val="false"/>
    <c:plotArea>
      <c:layout>
        <c:manualLayout>
          <c:layoutTarget val="inner"/>
          <c:xMode val="edge"/>
          <c:yMode val="edge"/>
          <c:x val="0.07968108238705"/>
          <c:y val="0.178708032299195"/>
          <c:w val="0.885769509543368"/>
          <c:h val="0.671780705482363"/>
        </c:manualLayout>
      </c:layout>
      <c:barChart>
        <c:barDir val="col"/>
        <c:grouping val="clustered"/>
        <c:varyColors val="false"/>
        <c:ser>
          <c:idx val="0"/>
          <c:order val="0"/>
          <c:tx>
            <c:strRef>
              <c:f>Sheet1!$B$1</c:f>
              <c:strCache>
                <c:ptCount val="1"/>
                <c:pt idx="0">
                  <c:v>2023年</c:v>
                </c:pt>
              </c:strCache>
            </c:strRef>
          </c:tx>
          <c:spPr>
            <a:solidFill>
              <a:srgbClr val="907876"/>
            </a:solidFill>
            <a:ln>
              <a:noFill/>
            </a:ln>
            <a:effectLst/>
          </c:spPr>
          <c:invertIfNegative val="false"/>
          <c:dLbls>
            <c:dLbl>
              <c:idx val="0"/>
              <c:layout>
                <c:manualLayout>
                  <c:x val="0.00637527925195074"/>
                  <c:y val="-0.0561460354402235"/>
                </c:manualLayout>
              </c:layout>
              <c:dLblPos val="in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forceAA="false"/>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财政拨款收入、支出</c:v>
                </c:pt>
              </c:strCache>
            </c:strRef>
          </c:cat>
          <c:val>
            <c:numRef>
              <c:f>Sheet1!$B$2</c:f>
              <c:numCache>
                <c:formatCode>General</c:formatCode>
                <c:ptCount val="1"/>
                <c:pt idx="0">
                  <c:v>527.23</c:v>
                </c:pt>
              </c:numCache>
            </c:numRef>
          </c:val>
        </c:ser>
        <c:ser>
          <c:idx val="1"/>
          <c:order val="1"/>
          <c:tx>
            <c:strRef>
              <c:f>Sheet1!$C$1</c:f>
              <c:strCache>
                <c:ptCount val="1"/>
                <c:pt idx="0">
                  <c:v>2024年</c:v>
                </c:pt>
              </c:strCache>
            </c:strRef>
          </c:tx>
          <c:spPr>
            <a:solidFill>
              <a:srgbClr val="EE5037"/>
            </a:solidFill>
            <a:ln>
              <a:noFill/>
            </a:ln>
            <a:effectLst/>
          </c:spPr>
          <c:invertIfNegative val="false"/>
          <c:dLbls>
            <c:dLbl>
              <c:idx val="0"/>
              <c:layout>
                <c:manualLayout>
                  <c:x val="-2.95869387653105e-6"/>
                  <c:y val="-0.0827836718955086"/>
                </c:manualLayout>
              </c:layout>
              <c:dLblPos val="in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forceAA="false"/>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财政拨款收入、支出</c:v>
                </c:pt>
              </c:strCache>
            </c:strRef>
          </c:cat>
          <c:val>
            <c:numRef>
              <c:f>Sheet1!$C$2</c:f>
              <c:numCache>
                <c:formatCode>General</c:formatCode>
                <c:ptCount val="1"/>
                <c:pt idx="0">
                  <c:v>463.68</c:v>
                </c:pt>
              </c:numCache>
            </c:numRef>
          </c:val>
        </c:ser>
        <c:dLbls>
          <c:showLegendKey val="false"/>
          <c:showVal val="true"/>
          <c:showCatName val="false"/>
          <c:showSerName val="false"/>
          <c:showPercent val="false"/>
          <c:showBubbleSize val="false"/>
        </c:dLbls>
        <c:gapWidth val="298"/>
        <c:overlap val="-7"/>
        <c:axId val="64211968"/>
        <c:axId val="64467328"/>
      </c:barChart>
      <c:catAx>
        <c:axId val="64211968"/>
        <c:scaling>
          <c:orientation val="minMax"/>
        </c:scaling>
        <c:delete val="false"/>
        <c:axPos val="b"/>
        <c:numFmt formatCode="General" sourceLinked="tru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forceAA="false"/>
          <a:lstStyle/>
          <a:p>
            <a:pPr>
              <a:defRPr lang="zh-CN" sz="900" b="0" i="0" u="none" strike="noStrike" kern="1200" baseline="0">
                <a:solidFill>
                  <a:schemeClr val="tx1">
                    <a:lumMod val="65000"/>
                    <a:lumOff val="35000"/>
                  </a:schemeClr>
                </a:solidFill>
                <a:latin typeface="+mn-lt"/>
                <a:ea typeface="+mn-ea"/>
                <a:cs typeface="+mn-cs"/>
              </a:defRPr>
            </a:pPr>
          </a:p>
        </c:txPr>
        <c:crossAx val="64467328"/>
        <c:crosses val="autoZero"/>
        <c:auto val="true"/>
        <c:lblAlgn val="ctr"/>
        <c:lblOffset val="100"/>
        <c:noMultiLvlLbl val="false"/>
      </c:catAx>
      <c:valAx>
        <c:axId val="64467328"/>
        <c:scaling>
          <c:orientation val="minMax"/>
          <c:max val="500"/>
          <c:min val="0"/>
        </c:scaling>
        <c:delete val="false"/>
        <c:axPos val="l"/>
        <c:numFmt formatCode="General"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forceAA="false"/>
          <a:lstStyle/>
          <a:p>
            <a:pPr>
              <a:defRPr lang="zh-CN" sz="900" b="0" i="0" u="none" strike="noStrike" kern="1200" baseline="0">
                <a:solidFill>
                  <a:schemeClr val="tx1">
                    <a:lumMod val="65000"/>
                    <a:lumOff val="35000"/>
                  </a:schemeClr>
                </a:solidFill>
                <a:latin typeface="+mn-lt"/>
                <a:ea typeface="+mn-ea"/>
                <a:cs typeface="+mn-cs"/>
              </a:defRPr>
            </a:pPr>
          </a:p>
        </c:txPr>
        <c:crossAx val="64211968"/>
        <c:crosses val="autoZero"/>
        <c:crossBetween val="between"/>
      </c:valAx>
      <c:spPr>
        <a:pattFill prst="wdUpDiag">
          <a:fgClr>
            <a:schemeClr val="bg1">
              <a:lumMod val="95000"/>
            </a:schemeClr>
          </a:fgClr>
          <a:bgClr>
            <a:schemeClr val="bg1"/>
          </a:bgClr>
        </a:pattFill>
        <a:ln>
          <a:solidFill>
            <a:schemeClr val="bg1">
              <a:lumMod val="95000"/>
            </a:schemeClr>
          </a:solidFill>
        </a:ln>
        <a:effectLst/>
      </c:spPr>
    </c:plotArea>
    <c:legend>
      <c:legendPos val="t"/>
      <c:layout>
        <c:manualLayout>
          <c:xMode val="edge"/>
          <c:yMode val="edge"/>
          <c:x val="0.426817506971138"/>
          <c:y val="0.922439439014025"/>
        </c:manualLayout>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solidFill>
            <a:schemeClr val="tx1">
              <a:lumMod val="65000"/>
              <a:lumOff val="35000"/>
            </a:schemeClr>
          </a:solidFill>
        </a:defRPr>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182"/>
    </mc:Choice>
    <mc:Fallback>
      <c:style val="10082"/>
    </mc:Fallback>
  </mc:AlternateContent>
  <c:chart>
    <c:title>
      <c:layout>
        <c:manualLayout>
          <c:xMode val="edge"/>
          <c:yMode val="edge"/>
          <c:x val="0.212007731336073"/>
          <c:y val="0.0254993625159373"/>
        </c:manualLayout>
      </c:layout>
      <c:overlay val="false"/>
      <c:spPr>
        <a:noFill/>
        <a:ln>
          <a:noFill/>
        </a:ln>
        <a:effectLst/>
      </c:spPr>
      <c:txPr>
        <a:bodyPr rot="0" spcFirstLastPara="0" vertOverflow="ellipsis" vert="horz" wrap="square" anchor="ctr" anchorCtr="true"/>
        <a:lstStyle/>
        <a:p>
          <a:pPr>
            <a:defRPr lang="zh-CN" sz="1400" b="1" i="0" u="none" strike="noStrike" kern="1200" baseline="0">
              <a:solidFill>
                <a:schemeClr val="tx1">
                  <a:lumMod val="75000"/>
                  <a:lumOff val="25000"/>
                </a:schemeClr>
              </a:solidFill>
              <a:latin typeface="+mn-lt"/>
              <a:ea typeface="+mn-ea"/>
              <a:cs typeface="+mn-cs"/>
            </a:defRPr>
          </a:pPr>
        </a:p>
      </c:txPr>
    </c:title>
    <c:autoTitleDeleted val="false"/>
    <c:plotArea>
      <c:layout/>
      <c:pieChart>
        <c:varyColors val="true"/>
        <c:ser>
          <c:idx val="0"/>
          <c:order val="0"/>
          <c:tx>
            <c:strRef>
              <c:f>Sheet1!$B$1</c:f>
              <c:strCache>
                <c:ptCount val="1"/>
                <c:pt idx="0">
                  <c:v>一般公共预算财政拨款支出决算结构图</c:v>
                </c:pt>
              </c:strCache>
            </c:strRef>
          </c:tx>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Pt>
            <c:idx val="2"/>
            <c:bubble3D val="false"/>
            <c:spPr>
              <a:solidFill>
                <a:schemeClr val="accent3"/>
              </a:solidFill>
              <a:ln>
                <a:solidFill>
                  <a:schemeClr val="bg1"/>
                </a:solidFill>
              </a:ln>
              <a:effectLst/>
            </c:spPr>
          </c:dPt>
          <c:dPt>
            <c:idx val="3"/>
            <c:bubble3D val="false"/>
            <c:spPr>
              <a:solidFill>
                <a:schemeClr val="accent4"/>
              </a:solidFill>
              <a:ln>
                <a:solidFill>
                  <a:schemeClr val="bg1"/>
                </a:solidFill>
              </a:ln>
              <a:effectLst/>
            </c:spPr>
          </c:dPt>
          <c:dLbls>
            <c:dLbl>
              <c:idx val="0"/>
              <c:layout>
                <c:manualLayout>
                  <c:x val="0.161900186023241"/>
                  <c:y val="-0.0483765538812521"/>
                </c:manualLayout>
              </c:layout>
              <c:dLblPos val="bestFit"/>
              <c:showLegendKey val="true"/>
              <c:showVal val="false"/>
              <c:showCatName val="true"/>
              <c:showSerName val="false"/>
              <c:showPercent val="true"/>
              <c:showBubbleSize val="false"/>
              <c:separator> </c:separator>
              <c:extLst>
                <c:ext xmlns:c15="http://schemas.microsoft.com/office/drawing/2012/chart" uri="{CE6537A1-D6FC-4f65-9D91-7224C49458BB}">
                  <c15:layout>
                    <c:manualLayout>
                      <c:w val="0.272545655783066"/>
                      <c:h val="0.14963503649635"/>
                    </c:manualLayout>
                  </c15:layout>
                </c:ext>
              </c:extLst>
            </c:dLbl>
            <c:dLbl>
              <c:idx val="1"/>
              <c:layout>
                <c:manualLayout>
                  <c:x val="-0.161190138513775"/>
                  <c:y val="0.161690302153525"/>
                </c:manualLayout>
              </c:layout>
              <c:dLblPos val="bestFit"/>
              <c:showLegendKey val="true"/>
              <c:showVal val="false"/>
              <c:showCatName val="true"/>
              <c:showSerName val="false"/>
              <c:showPercent val="true"/>
              <c:showBubbleSize val="false"/>
              <c:separator> </c:separator>
              <c:extLst>
                <c:ext xmlns:c15="http://schemas.microsoft.com/office/drawing/2012/chart" uri="{CE6537A1-D6FC-4f65-9D91-7224C49458BB}">
                  <c15:layout/>
                </c:ext>
              </c:extLst>
            </c:dLbl>
            <c:dLbl>
              <c:idx val="2"/>
              <c:layout>
                <c:manualLayout>
                  <c:x val="-0.191310881898888"/>
                  <c:y val="0.0415320014495631"/>
                </c:manualLayout>
              </c:layout>
              <c:dLblPos val="bestFit"/>
              <c:showLegendKey val="true"/>
              <c:showVal val="false"/>
              <c:showCatName val="true"/>
              <c:showSerName val="false"/>
              <c:showPercent val="true"/>
              <c:showBubbleSize val="false"/>
              <c:separator> </c:separator>
              <c:extLst>
                <c:ext xmlns:c15="http://schemas.microsoft.com/office/drawing/2012/chart" uri="{CE6537A1-D6FC-4f65-9D91-7224C49458BB}">
                  <c15:layout/>
                </c:ext>
              </c:extLst>
            </c:dLbl>
            <c:dLbl>
              <c:idx val="3"/>
              <c:layout>
                <c:manualLayout>
                  <c:x val="0.263314707388103"/>
                  <c:y val="0.0338635434009875"/>
                </c:manualLayout>
              </c:layout>
              <c:dLblPos val="bestFit"/>
              <c:showLegendKey val="true"/>
              <c:showVal val="false"/>
              <c:showCatName val="true"/>
              <c:showSerName val="false"/>
              <c:showPercent val="true"/>
              <c:showBubbleSize val="false"/>
              <c:separator> </c:separator>
              <c:extLst>
                <c:ext xmlns:c15="http://schemas.microsoft.com/office/drawing/2012/chart" uri="{CE6537A1-D6FC-4f65-9D91-7224C49458BB}">
                  <c15:layout>
                    <c:manualLayout>
                      <c:w val="0.303259546209186"/>
                      <c:h val="0.0959332638164755"/>
                    </c:manualLayout>
                  </c15:layout>
                </c:ext>
              </c:extLst>
            </c:dLbl>
            <c:numFmt formatCode="0.00%" sourceLinked="fals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false"/>
            <c:showVal val="false"/>
            <c:showCatName val="true"/>
            <c:showSerName val="false"/>
            <c:showPercent val="true"/>
            <c:showBubbleSize val="false"/>
            <c:separator> </c:separator>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Sheet1!$A$2:$A$5</c:f>
              <c:strCache>
                <c:ptCount val="4"/>
                <c:pt idx="0">
                  <c:v>文化旅游体育与传媒支出</c:v>
                </c:pt>
                <c:pt idx="1">
                  <c:v>社会保障和就业支出</c:v>
                </c:pt>
                <c:pt idx="2">
                  <c:v>卫生健康支出</c:v>
                </c:pt>
                <c:pt idx="3">
                  <c:v>住房保障支出</c:v>
                </c:pt>
              </c:strCache>
            </c:strRef>
          </c:cat>
          <c:val>
            <c:numRef>
              <c:f>Sheet1!$B$2:$B$5</c:f>
              <c:numCache>
                <c:formatCode>General</c:formatCode>
                <c:ptCount val="4"/>
                <c:pt idx="0">
                  <c:v>415.92</c:v>
                </c:pt>
                <c:pt idx="1">
                  <c:v>25.15</c:v>
                </c:pt>
                <c:pt idx="2">
                  <c:v>6.22</c:v>
                </c:pt>
                <c:pt idx="3">
                  <c:v>16.39</c:v>
                </c:pt>
              </c:numCache>
            </c:numRef>
          </c:val>
        </c:ser>
        <c:dLbls>
          <c:showLegendKey val="false"/>
          <c:showVal val="true"/>
          <c:showCatName val="true"/>
          <c:showSerName val="false"/>
          <c:showPercent val="fals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182"/>
    </mc:Choice>
    <mc:Fallback>
      <c:style val="1008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tx1">
                    <a:lumMod val="75000"/>
                    <a:lumOff val="25000"/>
                  </a:schemeClr>
                </a:solidFill>
                <a:latin typeface="+mn-lt"/>
                <a:ea typeface="+mn-ea"/>
                <a:cs typeface="+mn-cs"/>
              </a:defRPr>
            </a:pPr>
            <a:r>
              <a:t>“三公”经费财政拨款支出结构图</a:t>
            </a:r>
          </a:p>
        </c:rich>
      </c:tx>
      <c:layout>
        <c:manualLayout>
          <c:xMode val="edge"/>
          <c:yMode val="edge"/>
          <c:x val="0.298502053636145"/>
          <c:y val="0.0254993625159373"/>
        </c:manualLayout>
      </c:layout>
      <c:overlay val="false"/>
      <c:spPr>
        <a:noFill/>
        <a:ln>
          <a:noFill/>
        </a:ln>
        <a:effectLst/>
      </c:spPr>
    </c:title>
    <c:autoTitleDeleted val="false"/>
    <c:plotArea>
      <c:layout/>
      <c:pieChart>
        <c:varyColors val="true"/>
        <c:ser>
          <c:idx val="0"/>
          <c:order val="0"/>
          <c:tx>
            <c:strRef>
              <c:f>Sheet1!$B$1</c:f>
              <c:strCache>
                <c:ptCount val="1"/>
                <c:pt idx="0">
                  <c:v>“三公”经费财政拨款支出结构图</c:v>
                </c:pt>
              </c:strCache>
            </c:strRef>
          </c:tx>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Pt>
            <c:idx val="2"/>
            <c:bubble3D val="false"/>
            <c:spPr>
              <a:solidFill>
                <a:schemeClr val="accent3"/>
              </a:solidFill>
              <a:ln>
                <a:solidFill>
                  <a:schemeClr val="bg1"/>
                </a:solidFill>
              </a:ln>
              <a:effectLst/>
            </c:spPr>
          </c:dPt>
          <c:dLbls>
            <c:dLbl>
              <c:idx val="0"/>
              <c:layout>
                <c:manualLayout>
                  <c:x val="0.242475211387047"/>
                  <c:y val="0.0569103318915934"/>
                </c:manualLayout>
              </c:layout>
              <c:dLblPos val="bestFit"/>
              <c:showLegendKey val="true"/>
              <c:showVal val="false"/>
              <c:showCatName val="true"/>
              <c:showSerName val="false"/>
              <c:showPercent val="true"/>
              <c:showBubbleSize val="false"/>
              <c:separator> </c:separator>
              <c:extLst>
                <c:ext xmlns:c15="http://schemas.microsoft.com/office/drawing/2012/chart" uri="{CE6537A1-D6FC-4f65-9D91-7224C49458BB}">
                  <c15:layout>
                    <c:manualLayout>
                      <c:w val="0.366868184955142"/>
                      <c:h val="0.12035010940919"/>
                    </c:manualLayout>
                  </c15:layout>
                </c:ext>
              </c:extLst>
            </c:dLbl>
            <c:dLbl>
              <c:idx val="1"/>
              <c:layout>
                <c:manualLayout>
                  <c:x val="0.240479041192128"/>
                  <c:y val="-0.0348108843777811"/>
                </c:manualLayout>
              </c:layout>
              <c:dLblPos val="bestFit"/>
              <c:showLegendKey val="true"/>
              <c:showVal val="false"/>
              <c:showCatName val="true"/>
              <c:showSerName val="false"/>
              <c:showPercent val="true"/>
              <c:showBubbleSize val="false"/>
              <c:separator> </c:separator>
              <c:extLst>
                <c:ext xmlns:c15="http://schemas.microsoft.com/office/drawing/2012/chart" uri="{CE6537A1-D6FC-4f65-9D91-7224C49458BB}">
                  <c15:layout>
                    <c:manualLayout>
                      <c:w val="0.269973775017253"/>
                      <c:h val="0.153446389496718"/>
                    </c:manualLayout>
                  </c15:layout>
                </c:ext>
              </c:extLst>
            </c:dLbl>
            <c:dLbl>
              <c:idx val="2"/>
              <c:layout>
                <c:manualLayout>
                  <c:x val="-0.177993468768456"/>
                  <c:y val="0.0831737530753567"/>
                </c:manualLayout>
              </c:layout>
              <c:dLblPos val="bestFit"/>
              <c:showLegendKey val="true"/>
              <c:showVal val="false"/>
              <c:showCatName val="true"/>
              <c:showSerName val="false"/>
              <c:showPercent val="true"/>
              <c:showBubbleSize val="false"/>
              <c:separator> </c:separator>
              <c:extLst>
                <c:ext xmlns:c15="http://schemas.microsoft.com/office/drawing/2012/chart" uri="{CE6537A1-D6FC-4f65-9D91-7224C49458BB}">
                  <c15:layout/>
                </c:ext>
              </c:extLst>
            </c:dLbl>
            <c:numFmt formatCode="0.00%" sourceLinked="fals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true"/>
            <c:showVal val="false"/>
            <c:showCatName val="true"/>
            <c:showSerName val="false"/>
            <c:showPercent val="true"/>
            <c:showBubbleSize val="false"/>
            <c:separator> </c:separator>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5.58</c:v>
                </c:pt>
                <c:pt idx="2">
                  <c:v>0.45</c:v>
                </c:pt>
              </c:numCache>
            </c:numRef>
          </c:val>
        </c:ser>
        <c:dLbls>
          <c:showLegendKey val="false"/>
          <c:showVal val="true"/>
          <c:showCatName val="true"/>
          <c:showSerName val="false"/>
          <c:showPercent val="fals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4.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39</Pages>
  <Words>4324</Words>
  <Characters>4755</Characters>
  <Lines>119</Lines>
  <Paragraphs>33</Paragraphs>
  <TotalTime>134</TotalTime>
  <ScaleCrop>false</ScaleCrop>
  <LinksUpToDate>false</LinksUpToDate>
  <CharactersWithSpaces>4823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2020-08-06T01:49:00Z</dcterms:created>
  <dc:creator>曹颖</dc:creator>
  <cp:lastModifiedBy> </cp:lastModifiedBy>
  <cp:lastPrinted>2025-09-03T11:23:00Z</cp:lastPrinted>
  <dcterms:modified xsi:type="dcterms:W3CDTF">2025-10-10T10:40:33Z</dcterms:modified>
  <dc:title>四川省***</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129A0C31A6474DCCB61B59132E81DC5C_13</vt:lpwstr>
  </property>
  <property fmtid="{D5CDD505-2E9C-101B-9397-08002B2CF9AE}" pid="4" name="KSOTemplateDocerSaveRecord">
    <vt:lpwstr>eyJoZGlkIjoiYTc2ZGZiNzZiNDVlOGViOWVmM2JhOTY0NGJkNjUyYzgiLCJ1c2VySWQiOiIyMjA2OTAwNTAifQ==</vt:lpwstr>
  </property>
</Properties>
</file>