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both"/>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广元市非物质文化遗产保护中心</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0" w:right="0" w:firstLine="0"/>
        <w:jc w:val="center"/>
        <w:textAlignment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2025年单位预算</w:t>
      </w: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both"/>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right="0" w:firstLine="0"/>
        <w:jc w:val="center"/>
        <w:rPr>
          <w:rFonts w:hint="eastAsia" w:ascii="仿宋_GB2312" w:hAnsi="仿宋_GB2312" w:eastAsia="仿宋_GB2312" w:cs="仿宋_GB2312"/>
          <w:b/>
          <w:bCs/>
          <w:i w:val="0"/>
          <w:caps w:val="0"/>
          <w:color w:val="000000" w:themeColor="text1"/>
          <w:spacing w:val="0"/>
          <w:kern w:val="0"/>
          <w:sz w:val="32"/>
          <w:szCs w:val="32"/>
          <w:highlight w:val="yellow"/>
          <w:shd w:val="clear" w:color="auto" w:fill="FFFFFF"/>
          <w:lang w:val="en-US" w:eastAsia="zh-CN" w:bidi="ar"/>
          <w14:textFill>
            <w14:solidFill>
              <w14:schemeClr w14:val="tx1"/>
            </w14:solidFill>
          </w14:textFill>
        </w:rPr>
        <w:sectPr>
          <w:footerReference r:id="rId3" w:type="default"/>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pPr>
    </w:p>
    <w:p>
      <w:pPr>
        <w:jc w:val="cente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目   录</w:t>
      </w:r>
    </w:p>
    <w:p>
      <w:pPr>
        <w:numPr>
          <w:ilvl w:val="0"/>
          <w:numId w:val="1"/>
        </w:numPr>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广元市非物质文化遗产保护中心概况 </w:t>
      </w:r>
    </w:p>
    <w:p>
      <w:pPr>
        <w:numPr>
          <w:ilvl w:val="0"/>
          <w:numId w:val="2"/>
        </w:numPr>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基本职能及主要工作 </w:t>
      </w:r>
    </w:p>
    <w:p>
      <w:pPr>
        <w:numPr>
          <w:ilvl w:val="0"/>
          <w:numId w:val="2"/>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部门预算单位构成</w:t>
      </w:r>
    </w:p>
    <w:p>
      <w:pPr>
        <w:numPr>
          <w:ilvl w:val="0"/>
          <w:numId w:val="1"/>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广元市非物质文化遗产保护中心2025年单位预算情况说明 </w:t>
      </w:r>
    </w:p>
    <w:p>
      <w:pPr>
        <w:numPr>
          <w:ilvl w:val="0"/>
          <w:numId w:val="1"/>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名词解释</w:t>
      </w:r>
    </w:p>
    <w:p>
      <w:pPr>
        <w:numPr>
          <w:ilvl w:val="0"/>
          <w:numId w:val="1"/>
        </w:numPr>
        <w:ind w:left="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广元市非物质文化遗产保护中心2025年单位预算表</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部门收支总表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部门收入总表</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部门支出总表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财政拨款收支预算总表</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财政拨款支出预算表（部门经济分类科目）</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一般公共预算支出预算表</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一般公共预算基本支出预算表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一般公共预算项目支出预算表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一般公共预算“三公”经费支出预算表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政府性基金预算支出预算表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政府性基金预算“三公”经费支出预算表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国有资本经营预算支出预算表 </w:t>
      </w:r>
    </w:p>
    <w:p>
      <w:pPr>
        <w:numPr>
          <w:ilvl w:val="0"/>
          <w:numId w:val="3"/>
        </w:numPr>
        <w:ind w:left="160" w:leftChars="0" w:firstLine="0" w:firstLineChars="0"/>
        <w:jc w:val="both"/>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pPr>
      <w:r>
        <w:rPr>
          <w:rFonts w:hint="eastAsia" w:ascii="黑体" w:hAnsi="黑体" w:eastAsia="黑体" w:cs="黑体"/>
          <w:b w:val="0"/>
          <w:bCs w:val="0"/>
          <w:i w:val="0"/>
          <w:caps w:val="0"/>
          <w:color w:val="000000" w:themeColor="text1"/>
          <w:spacing w:val="0"/>
          <w:kern w:val="0"/>
          <w:sz w:val="32"/>
          <w:szCs w:val="32"/>
          <w:highlight w:val="none"/>
          <w:shd w:val="clear" w:color="auto" w:fill="FFFFFF"/>
          <w:lang w:val="en-US" w:eastAsia="zh-CN" w:bidi="ar"/>
          <w14:textFill>
            <w14:solidFill>
              <w14:schemeClr w14:val="tx1"/>
            </w14:solidFill>
          </w14:textFill>
        </w:rPr>
        <w:t xml:space="preserve">部门预算项目支出绩效目标表 </w:t>
      </w: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pStyle w:val="8"/>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130" w:beforeAutospacing="0" w:after="0" w:afterAutospacing="0" w:line="580" w:lineRule="atLeast"/>
        <w:ind w:left="0" w:right="0" w:firstLine="560" w:firstLineChars="200"/>
        <w:jc w:val="both"/>
        <w:rPr>
          <w:rFonts w:hint="eastAsia" w:ascii="宋体" w:hAnsi="宋体" w:eastAsia="宋体" w:cs="宋体"/>
          <w:i w:val="0"/>
          <w:caps w:val="0"/>
          <w:color w:val="000000" w:themeColor="text1"/>
          <w:spacing w:val="0"/>
          <w:kern w:val="0"/>
          <w:sz w:val="28"/>
          <w:szCs w:val="28"/>
          <w:highlight w:val="none"/>
          <w:shd w:val="clear" w:color="auto" w:fill="FFFFFF"/>
          <w:lang w:val="en-US" w:eastAsia="zh-CN" w:bidi="ar"/>
          <w14:textFill>
            <w14:solidFill>
              <w14:schemeClr w14:val="tx1"/>
            </w14:solidFill>
          </w14:textFill>
        </w:rPr>
      </w:pPr>
    </w:p>
    <w:p>
      <w:pPr>
        <w:keepNext w:val="0"/>
        <w:keepLines/>
        <w:pageBreakBefore/>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Chars="0" w:right="0" w:rightChars="0"/>
        <w:jc w:val="both"/>
        <w:textAlignment w:val="auto"/>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pageBreakBefore/>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80" w:lineRule="atLeast"/>
        <w:ind w:leftChars="0" w:right="0" w:rightChars="0"/>
        <w:jc w:val="both"/>
        <w:textAlignment w:val="auto"/>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sectPr>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广元市非物质文化遗产保护中心</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firstLine="4400" w:firstLineChars="100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概  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type w:val="continuous"/>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一、基本职能及主要工作</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w:t>
      </w:r>
      <w:r>
        <w:rPr>
          <w:rFonts w:hint="eastAsia" w:ascii="楷体_GB2312" w:hAnsi="楷体_GB2312" w:eastAsia="楷体_GB2312" w:cs="楷体_GB2312"/>
          <w:sz w:val="32"/>
          <w:szCs w:val="32"/>
          <w:lang w:val="en-US" w:eastAsia="zh-CN"/>
        </w:rPr>
        <w:t>广元市非物质文化遗产保护中心</w:t>
      </w:r>
      <w:r>
        <w:rPr>
          <w:rFonts w:hint="eastAsia" w:ascii="楷体_GB2312" w:hAnsi="楷体_GB2312" w:eastAsia="楷体_GB2312" w:cs="楷体_GB2312"/>
          <w:sz w:val="32"/>
          <w:szCs w:val="32"/>
        </w:rPr>
        <w:t>职能简介</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主要职责为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负责织开展全市非物质文化遗产的资源普查、理论研究、宣传推介、传承保护、名录体系建设等工作。</w:t>
      </w:r>
    </w:p>
    <w:p>
      <w:pPr>
        <w:keepNext w:val="0"/>
        <w:keepLines w:val="0"/>
        <w:pageBreakBefore w:val="0"/>
        <w:widowControl w:val="0"/>
        <w:numPr>
          <w:ilvl w:val="0"/>
          <w:numId w:val="5"/>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广元市非物质文化遗产保护中心2025</w:t>
      </w:r>
      <w:r>
        <w:rPr>
          <w:rFonts w:hint="eastAsia" w:ascii="仿宋_GB2312" w:hAnsi="仿宋_GB2312" w:eastAsia="仿宋_GB2312" w:cs="仿宋_GB2312"/>
          <w:sz w:val="32"/>
          <w:szCs w:val="32"/>
        </w:rPr>
        <w:t>年重点工作</w:t>
      </w:r>
    </w:p>
    <w:p>
      <w:pPr>
        <w:pStyle w:val="8"/>
        <w:widowControl/>
        <w:numPr>
          <w:ilvl w:val="0"/>
          <w:numId w:val="0"/>
        </w:numPr>
        <w:shd w:val="clear" w:color="auto" w:fill="FFFFFF"/>
        <w:spacing w:before="130" w:line="580" w:lineRule="atLeast"/>
        <w:ind w:right="0" w:righ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bCs/>
          <w:color w:val="333333"/>
          <w:sz w:val="32"/>
          <w:szCs w:val="32"/>
          <w:shd w:val="clear" w:color="auto" w:fill="FFFFFF"/>
          <w:lang w:val="en-US" w:eastAsia="zh-CN"/>
        </w:rPr>
        <w:t>1.</w:t>
      </w:r>
      <w:r>
        <w:rPr>
          <w:rFonts w:hint="eastAsia" w:ascii="仿宋_GB2312" w:hAnsi="仿宋_GB2312" w:eastAsia="仿宋_GB2312" w:cs="仿宋_GB2312"/>
          <w:bCs/>
          <w:color w:val="333333"/>
          <w:sz w:val="32"/>
          <w:szCs w:val="32"/>
          <w:shd w:val="clear" w:color="auto" w:fill="FFFFFF"/>
        </w:rPr>
        <w:t>开展</w:t>
      </w: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bookmarkStart w:id="0" w:name="_GoBack"/>
      <w:bookmarkEnd w:id="0"/>
      <w:r>
        <w:rPr>
          <w:rFonts w:hint="eastAsia" w:ascii="仿宋_GB2312" w:hAnsi="仿宋_GB2312" w:eastAsia="仿宋_GB2312" w:cs="仿宋_GB2312"/>
          <w:sz w:val="32"/>
          <w:szCs w:val="32"/>
        </w:rPr>
        <w:t>年“文化和自然遗产日”广元市非遗宣传展示系列活动。</w:t>
      </w:r>
      <w:r>
        <w:rPr>
          <w:rFonts w:hint="eastAsia" w:ascii="仿宋_GB2312" w:hAnsi="仿宋_GB2312" w:eastAsia="仿宋_GB2312" w:cs="仿宋_GB2312"/>
          <w:sz w:val="32"/>
          <w:szCs w:val="32"/>
          <w:lang w:val="en-US" w:eastAsia="zh-CN"/>
        </w:rPr>
        <w:t>加强宣传力度，促进非遗传承和保护工作开展。</w:t>
      </w:r>
    </w:p>
    <w:p>
      <w:pPr>
        <w:pStyle w:val="8"/>
        <w:widowControl/>
        <w:numPr>
          <w:ilvl w:val="0"/>
          <w:numId w:val="0"/>
        </w:numPr>
        <w:shd w:val="clear" w:color="auto" w:fill="FFFFFF"/>
        <w:spacing w:before="130" w:line="580" w:lineRule="atLeast"/>
        <w:ind w:right="0" w:righ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开展非遗四进“进景区、进校园、进社区、进广场”等活动不少于2次。</w:t>
      </w:r>
    </w:p>
    <w:p>
      <w:pPr>
        <w:pStyle w:val="8"/>
        <w:widowControl/>
        <w:numPr>
          <w:ilvl w:val="0"/>
          <w:numId w:val="0"/>
        </w:numPr>
        <w:shd w:val="clear" w:color="auto" w:fill="FFFFFF"/>
        <w:spacing w:before="130" w:line="580" w:lineRule="atLeast"/>
        <w:ind w:right="0" w:righ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组织非遗业务学习不少于4次。</w:t>
      </w:r>
      <w:r>
        <w:rPr>
          <w:rFonts w:hint="eastAsia" w:ascii="仿宋_GB2312" w:hAnsi="仿宋_GB2312" w:eastAsia="仿宋_GB2312" w:cs="仿宋_GB2312"/>
          <w:sz w:val="32"/>
          <w:szCs w:val="32"/>
          <w:lang w:val="en-US" w:eastAsia="zh-CN"/>
        </w:rPr>
        <w:t>积极培养引进高层次人才，加大对现有专业技术人员专业素养，逐渐优化人才结构，不断推动非遗人才队伍的发展</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做好省级非遗代表性传承人记录工作，按照国家级非物质文化遗产代表性传承人抢救性记录工程操作指南的要求按质按量的完成提交记录成果。</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二、部门预算单位构成</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我单位为广元市文化广播电视和旅游局的下属二级预算单位，本单位无下属机构。</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sectPr>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 xml:space="preserve">广元市非物质文化遗产保护中心      </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firstLine="1760" w:firstLineChars="40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 xml:space="preserve">  2025年单位预算情况说明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一、收支预算情况说明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szCs w:val="32"/>
          <w:lang w:val="en-US" w:eastAsia="zh-CN"/>
        </w:rPr>
        <w:t>按照综合预算的原则，广元市非物质文化遗产保护中心所有收入和支出均纳入部门预算管理。收入包括：一般公共预算拨款收入；支出包括：文化旅游体育与传媒支出、社会保障和就业支出、卫生健康支出、住房保障支出。广元市非物质文化遗产保护中心2025年收支预算总数85.41万元,比2024年收支预算总数减少16.63万元，</w:t>
      </w:r>
      <w:r>
        <w:rPr>
          <w:rFonts w:hint="eastAsia" w:ascii="仿宋_GB2312" w:hAnsi="仿宋_GB2312" w:eastAsia="仿宋_GB2312" w:cs="仿宋_GB2312"/>
          <w:sz w:val="32"/>
        </w:rPr>
        <w:t>主要原因是</w:t>
      </w:r>
      <w:r>
        <w:rPr>
          <w:rFonts w:hint="eastAsia" w:ascii="仿宋_GB2312" w:hAnsi="仿宋_GB2312" w:eastAsia="仿宋_GB2312" w:cs="仿宋_GB2312"/>
          <w:sz w:val="32"/>
          <w:lang w:val="en-US" w:eastAsia="zh-CN"/>
        </w:rPr>
        <w:t>退休1</w:t>
      </w:r>
      <w:r>
        <w:rPr>
          <w:rFonts w:hint="eastAsia" w:ascii="仿宋_GB2312" w:hAnsi="仿宋_GB2312" w:eastAsia="仿宋_GB2312" w:cs="仿宋_GB2312"/>
          <w:sz w:val="32"/>
        </w:rPr>
        <w:t>人，工资福利支出减少，</w:t>
      </w:r>
      <w:r>
        <w:rPr>
          <w:rFonts w:hint="eastAsia" w:ascii="仿宋_GB2312" w:hAnsi="仿宋_GB2312" w:eastAsia="仿宋_GB2312" w:cs="仿宋_GB2312"/>
          <w:sz w:val="32"/>
          <w:lang w:eastAsia="zh-CN"/>
        </w:rPr>
        <w:t>公用经费减少。</w:t>
      </w:r>
      <w:r>
        <w:rPr>
          <w:rFonts w:hint="eastAsia" w:ascii="仿宋_GB2312" w:hAnsi="仿宋_GB2312" w:eastAsia="仿宋_GB2312" w:cs="仿宋_GB2312"/>
          <w:sz w:val="32"/>
        </w:rPr>
        <w:t xml:space="preserve"> </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（一）收入预算情况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广元市非物质文化遗产保护中心，2025年收入预算85.41万元，其中：一般公共预算拨款收入85.41万元，占100%。</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（二）支出预算情况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lang w:val="en-US" w:eastAsia="zh-CN"/>
        </w:rPr>
        <w:t>广元市非物质文化遗产保护中心2025年支出预算85.41万元，其中：基本支出78.26万元，占91.63%；项目支出7.15万元，占8.37%</w:t>
      </w:r>
      <w:r>
        <w:rPr>
          <w:rFonts w:hint="eastAsia" w:ascii="仿宋_GB2312" w:hAnsi="仿宋_GB2312" w:eastAsia="仿宋_GB2312" w:cs="仿宋_GB2312"/>
          <w:b w:val="0"/>
          <w:bCs w:val="0"/>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二、财政拨款收支预算情况说明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广元市非物质文化遗产保护中心2025年财政拨款收支预算总数85.41万元,比2024年财政拨款收支预算总数减少16.63万元，</w:t>
      </w:r>
      <w:r>
        <w:rPr>
          <w:rFonts w:hint="eastAsia" w:ascii="仿宋" w:hAnsi="仿宋" w:eastAsia="仿宋" w:cs="仿宋"/>
          <w:sz w:val="32"/>
        </w:rPr>
        <w:t>主要原因是</w:t>
      </w:r>
      <w:r>
        <w:rPr>
          <w:rFonts w:hint="eastAsia" w:ascii="仿宋" w:hAnsi="仿宋" w:eastAsia="仿宋" w:cs="仿宋"/>
          <w:sz w:val="32"/>
          <w:lang w:val="en-US" w:eastAsia="zh-CN"/>
        </w:rPr>
        <w:t>退休1</w:t>
      </w:r>
      <w:r>
        <w:rPr>
          <w:rFonts w:hint="eastAsia" w:ascii="仿宋" w:hAnsi="仿宋" w:eastAsia="仿宋" w:cs="仿宋"/>
          <w:sz w:val="32"/>
        </w:rPr>
        <w:t>人，工资福利支出减少，</w:t>
      </w:r>
      <w:r>
        <w:rPr>
          <w:rFonts w:hint="eastAsia" w:ascii="仿宋" w:hAnsi="仿宋" w:eastAsia="仿宋" w:cs="仿宋"/>
          <w:sz w:val="32"/>
          <w:lang w:eastAsia="zh-CN"/>
        </w:rPr>
        <w:t>公用经费减少。</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收入包括：本年一般公共预算拨款收入85.41万元；支出包括：文化旅游体育与传媒支出68.23万元、社会保障和就业支出8.1万元、卫生健康支出2.55万元、</w:t>
      </w:r>
      <w:r>
        <w:rPr>
          <w:rFonts w:hint="eastAsia" w:ascii="仿宋_GB2312" w:hAnsi="仿宋_GB2312" w:eastAsia="仿宋_GB2312" w:cs="仿宋_GB2312"/>
          <w:sz w:val="32"/>
          <w:szCs w:val="32"/>
          <w:highlight w:val="none"/>
          <w:lang w:val="en-US" w:eastAsia="zh-CN"/>
        </w:rPr>
        <w:t>住房保障支出6.52万</w:t>
      </w:r>
      <w:r>
        <w:rPr>
          <w:rFonts w:hint="eastAsia" w:ascii="仿宋_GB2312" w:hAnsi="仿宋_GB2312" w:eastAsia="仿宋_GB2312" w:cs="仿宋_GB2312"/>
          <w:sz w:val="32"/>
          <w:szCs w:val="32"/>
          <w:lang w:val="en-US" w:eastAsia="zh-CN"/>
        </w:rPr>
        <w:t>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三、一般公共预算当年拨款情况说明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（一）一般公共预算当年拨款规模变化情况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广元市非物质文化遗产保护中心2025年一般公共预算当年拨款85.41万元，比2024年预算数减少16.63万元，</w:t>
      </w:r>
      <w:r>
        <w:rPr>
          <w:rFonts w:hint="eastAsia" w:ascii="仿宋" w:hAnsi="仿宋" w:eastAsia="仿宋" w:cs="仿宋"/>
          <w:sz w:val="32"/>
        </w:rPr>
        <w:t>主要原因是</w:t>
      </w:r>
      <w:r>
        <w:rPr>
          <w:rFonts w:hint="eastAsia" w:ascii="仿宋" w:hAnsi="仿宋" w:eastAsia="仿宋" w:cs="仿宋"/>
          <w:sz w:val="32"/>
          <w:lang w:val="en-US" w:eastAsia="zh-CN"/>
        </w:rPr>
        <w:t>退休1</w:t>
      </w:r>
      <w:r>
        <w:rPr>
          <w:rFonts w:hint="eastAsia" w:ascii="仿宋" w:hAnsi="仿宋" w:eastAsia="仿宋" w:cs="仿宋"/>
          <w:sz w:val="32"/>
        </w:rPr>
        <w:t>人，工资福利支出减少，</w:t>
      </w:r>
      <w:r>
        <w:rPr>
          <w:rFonts w:hint="eastAsia" w:ascii="仿宋" w:hAnsi="仿宋" w:eastAsia="仿宋" w:cs="仿宋"/>
          <w:sz w:val="32"/>
          <w:lang w:eastAsia="zh-CN"/>
        </w:rPr>
        <w:t>公用经费减少。</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（二）一般公共预算当年拨款结构情况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文化旅游体育与传媒支出68.23万元，占79.89%；社会保障和就业支出8.1万元，占9.48%；卫生健康支出2.55万元，占2.99%；住房保障支出6.52万元，占3%。</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（三）一般公共预算当年拨款具体使用情况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rPr>
        <w:t>文化旅游体育与传媒支出（类）文化和旅游（款）</w:t>
      </w:r>
      <w:r>
        <w:rPr>
          <w:rFonts w:hint="eastAsia" w:ascii="仿宋_GB2312" w:hAnsi="仿宋_GB2312" w:eastAsia="仿宋_GB2312" w:cs="仿宋_GB2312"/>
          <w:sz w:val="32"/>
          <w:lang w:val="en-US" w:eastAsia="zh-CN"/>
        </w:rPr>
        <w:t>文化创作与保护</w:t>
      </w:r>
      <w:r>
        <w:rPr>
          <w:rFonts w:hint="eastAsia" w:ascii="仿宋_GB2312" w:hAnsi="仿宋_GB2312" w:eastAsia="仿宋_GB2312" w:cs="仿宋_GB2312"/>
          <w:sz w:val="32"/>
        </w:rPr>
        <w:t>（项）202</w:t>
      </w:r>
      <w:r>
        <w:rPr>
          <w:rFonts w:hint="eastAsia" w:ascii="仿宋_GB2312" w:hAnsi="仿宋_GB2312" w:eastAsia="仿宋_GB2312" w:cs="仿宋_GB2312"/>
          <w:sz w:val="32"/>
          <w:lang w:val="en-US" w:eastAsia="zh-CN"/>
        </w:rPr>
        <w:t>5</w:t>
      </w:r>
      <w:r>
        <w:rPr>
          <w:rFonts w:hint="eastAsia" w:ascii="仿宋_GB2312" w:hAnsi="仿宋_GB2312" w:eastAsia="仿宋_GB2312" w:cs="仿宋_GB2312"/>
          <w:sz w:val="32"/>
        </w:rPr>
        <w:t>年预算数为</w:t>
      </w:r>
      <w:r>
        <w:rPr>
          <w:rFonts w:hint="eastAsia" w:ascii="仿宋_GB2312" w:hAnsi="仿宋_GB2312" w:eastAsia="仿宋_GB2312" w:cs="仿宋_GB2312"/>
          <w:sz w:val="32"/>
          <w:highlight w:val="none"/>
          <w:lang w:val="en-US" w:eastAsia="zh-CN"/>
        </w:rPr>
        <w:t>68.24</w:t>
      </w:r>
      <w:r>
        <w:rPr>
          <w:rFonts w:hint="eastAsia" w:ascii="仿宋_GB2312" w:hAnsi="仿宋_GB2312" w:eastAsia="仿宋_GB2312" w:cs="仿宋_GB2312"/>
          <w:sz w:val="32"/>
          <w:highlight w:val="none"/>
        </w:rPr>
        <w:t>万</w:t>
      </w:r>
      <w:r>
        <w:rPr>
          <w:rFonts w:hint="eastAsia" w:ascii="仿宋_GB2312" w:hAnsi="仿宋_GB2312" w:eastAsia="仿宋_GB2312" w:cs="仿宋_GB2312"/>
          <w:sz w:val="32"/>
        </w:rPr>
        <w:t>元，主要用于：人员经费、日常公用经费、党建经费、工会经费及项目经费等。</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2.社会保障和就业（类）行政事业单位养老支出（款）机关事业单位基本养老保险缴费支出（项）2025年预算数为7.8万元，主要用于：实施养老保险制度由单位缴纳的基本养老保险支出。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3.社会保障和就业（类）其他社会保障和就业支出（款）其他社会保障和就业支出（项）202</w:t>
      </w:r>
      <w:r>
        <w:rPr>
          <w:rFonts w:hint="eastAsia" w:ascii="仿宋_GB2312" w:hAnsi="仿宋_GB2312" w:eastAsia="仿宋_GB2312" w:cs="仿宋_GB2312"/>
          <w:sz w:val="32"/>
          <w:lang w:val="en-US" w:eastAsia="zh-CN"/>
        </w:rPr>
        <w:t>5</w:t>
      </w:r>
      <w:r>
        <w:rPr>
          <w:rFonts w:hint="eastAsia" w:ascii="仿宋_GB2312" w:hAnsi="仿宋_GB2312" w:eastAsia="仿宋_GB2312" w:cs="仿宋_GB2312"/>
          <w:sz w:val="32"/>
        </w:rPr>
        <w:t>年预算数为</w:t>
      </w:r>
      <w:r>
        <w:rPr>
          <w:rFonts w:hint="eastAsia" w:ascii="仿宋_GB2312" w:hAnsi="仿宋_GB2312" w:eastAsia="仿宋_GB2312" w:cs="仿宋_GB2312"/>
          <w:sz w:val="32"/>
          <w:lang w:val="en-US" w:eastAsia="zh-CN"/>
        </w:rPr>
        <w:t>0.30</w:t>
      </w:r>
      <w:r>
        <w:rPr>
          <w:rFonts w:hint="eastAsia" w:ascii="仿宋_GB2312" w:hAnsi="仿宋_GB2312" w:eastAsia="仿宋_GB2312" w:cs="仿宋_GB2312"/>
          <w:sz w:val="32"/>
        </w:rPr>
        <w:t>万元，主要用于：</w:t>
      </w:r>
      <w:r>
        <w:rPr>
          <w:rFonts w:hint="eastAsia" w:ascii="仿宋_GB2312" w:hAnsi="仿宋_GB2312" w:eastAsia="仿宋_GB2312" w:cs="仿宋_GB2312"/>
          <w:sz w:val="32"/>
          <w:lang w:val="en-US" w:eastAsia="zh-CN"/>
        </w:rPr>
        <w:t>按规定由</w:t>
      </w:r>
      <w:r>
        <w:rPr>
          <w:rFonts w:hint="eastAsia" w:ascii="仿宋_GB2312" w:hAnsi="仿宋_GB2312" w:eastAsia="仿宋_GB2312" w:cs="仿宋_GB2312"/>
          <w:sz w:val="32"/>
        </w:rPr>
        <w:t>单位缴纳的失业和工伤保险</w:t>
      </w:r>
      <w:r>
        <w:rPr>
          <w:rFonts w:hint="eastAsia" w:ascii="仿宋_GB2312" w:hAnsi="仿宋_GB2312" w:eastAsia="仿宋_GB2312" w:cs="仿宋_GB2312"/>
          <w:sz w:val="32"/>
          <w:lang w:val="en-US" w:eastAsia="zh-CN"/>
        </w:rPr>
        <w:t>支出</w:t>
      </w:r>
      <w:r>
        <w:rPr>
          <w:rFonts w:hint="eastAsia" w:ascii="仿宋_GB2312" w:hAnsi="仿宋_GB2312" w:eastAsia="仿宋_GB2312" w:cs="仿宋_GB2312"/>
          <w:sz w:val="32"/>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4.卫生健康（类）行政事业单位医疗（款）事业单位医疗（项）2025年预算数为2.55万元，主要用于：事业单位按规定由单位缴纳的基本医疗保险支出。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5.住房保障（类）住房改革支出（款）住房公积金（项）2025年预算数为6.52万元，主要用于：部门按规定为职工缴纳的住房公积金支出。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四、一般公共预算基本支出情况说明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广元市非物质文化遗产保护中心2025年一般公共预算基本支出78.26万元，其中：</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人员经费71.89万元，主要包括：基本工资、津贴补贴、奖金、绩效工资、社会保险缴费、住房公积金、生活补助等支出。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公用经费6.37万元，主要包括：办公费、水费、电费、邮电费、差旅费、租赁费、培训费、公务接待费、委托业务费、工会经费、福利费、其他商品和服务支出等支出。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五、“三公”经费财政拨款预算安排情况说明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广元市非物质文化遗产保护中心2025年“三公”经费财政拨款预算数0.1万元，其中：公务接待费0.1万元。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（一）公务接待费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lang w:val="en-US" w:eastAsia="zh-CN"/>
        </w:rPr>
        <w:t>公务接待费0万元，与2024年预算相比</w:t>
      </w:r>
      <w:r>
        <w:rPr>
          <w:rFonts w:hint="eastAsia" w:ascii="仿宋_GB2312" w:hAnsi="仿宋_GB2312" w:eastAsia="仿宋_GB2312" w:cs="仿宋_GB2312"/>
          <w:sz w:val="32"/>
          <w:szCs w:val="32"/>
          <w:highlight w:val="none"/>
          <w:lang w:val="en-US" w:eastAsia="zh-CN"/>
        </w:rPr>
        <w:t>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2025年公务接待费计划用于执行接待考察调研、检查指导等公务活动开支的交通费、住宿费、用餐费等。</w:t>
      </w:r>
    </w:p>
    <w:p>
      <w:pPr>
        <w:keepNext w:val="0"/>
        <w:keepLines w:val="0"/>
        <w:pageBreakBefore w:val="0"/>
        <w:widowControl w:val="0"/>
        <w:numPr>
          <w:ilvl w:val="0"/>
          <w:numId w:val="6"/>
        </w:numPr>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公务用车购置及运行维护费</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lang w:val="en-US" w:eastAsia="zh-CN"/>
        </w:rPr>
        <w:t>公务用车购置及运行维护费与2024年预算相比</w:t>
      </w:r>
      <w:r>
        <w:rPr>
          <w:rFonts w:hint="eastAsia" w:ascii="仿宋_GB2312" w:hAnsi="仿宋_GB2312" w:eastAsia="仿宋_GB2312" w:cs="仿宋_GB2312"/>
          <w:sz w:val="32"/>
          <w:szCs w:val="32"/>
          <w:highlight w:val="none"/>
          <w:lang w:val="en-US" w:eastAsia="zh-CN"/>
        </w:rPr>
        <w:t>持平</w:t>
      </w:r>
      <w:r>
        <w:rPr>
          <w:rFonts w:hint="eastAsia" w:ascii="仿宋_GB2312" w:hAnsi="仿宋_GB2312" w:eastAsia="仿宋_GB2312" w:cs="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单位现有公务用车0辆，2025年安排公务用车购置费0万元，2025年安排公务用车运行维护费0万元。</w:t>
      </w: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三）因公出国（境）经费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因公出国（境）经费0万元，与2024年预算持平。</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六、政府性基金预算支出情况说明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广元市</w:t>
      </w:r>
      <w:r>
        <w:rPr>
          <w:rFonts w:hint="eastAsia" w:ascii="仿宋_GB2312" w:hAnsi="仿宋_GB2312" w:eastAsia="仿宋_GB2312" w:cs="仿宋_GB2312"/>
          <w:sz w:val="32"/>
          <w:lang w:val="en-US" w:eastAsia="zh-CN"/>
        </w:rPr>
        <w:t>非遗中心</w:t>
      </w:r>
      <w:r>
        <w:rPr>
          <w:rFonts w:hint="eastAsia" w:ascii="仿宋_GB2312" w:hAnsi="仿宋_GB2312" w:eastAsia="仿宋_GB2312" w:cs="仿宋_GB2312"/>
          <w:sz w:val="32"/>
        </w:rPr>
        <w:t>202</w:t>
      </w:r>
      <w:r>
        <w:rPr>
          <w:rFonts w:hint="eastAsia" w:ascii="仿宋_GB2312" w:hAnsi="仿宋_GB2312" w:eastAsia="仿宋_GB2312" w:cs="仿宋_GB2312"/>
          <w:sz w:val="32"/>
          <w:lang w:val="en-US" w:eastAsia="zh-CN"/>
        </w:rPr>
        <w:t>5</w:t>
      </w:r>
      <w:r>
        <w:rPr>
          <w:rFonts w:hint="eastAsia" w:ascii="仿宋_GB2312" w:hAnsi="仿宋_GB2312" w:eastAsia="仿宋_GB2312" w:cs="仿宋_GB2312"/>
          <w:sz w:val="32"/>
        </w:rPr>
        <w:t>年无政府性基金预算拨款安排的支出。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七、国有资本经营预算支出情况说明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广元市</w:t>
      </w:r>
      <w:r>
        <w:rPr>
          <w:rFonts w:hint="eastAsia" w:ascii="仿宋_GB2312" w:hAnsi="仿宋_GB2312" w:eastAsia="仿宋_GB2312" w:cs="仿宋_GB2312"/>
          <w:sz w:val="32"/>
          <w:lang w:val="en-US" w:eastAsia="zh-CN"/>
        </w:rPr>
        <w:t>非遗中心</w:t>
      </w:r>
      <w:r>
        <w:rPr>
          <w:rFonts w:hint="eastAsia" w:ascii="仿宋_GB2312" w:hAnsi="仿宋_GB2312" w:eastAsia="仿宋_GB2312" w:cs="仿宋_GB2312"/>
          <w:sz w:val="32"/>
        </w:rPr>
        <w:t>202</w:t>
      </w:r>
      <w:r>
        <w:rPr>
          <w:rFonts w:hint="eastAsia" w:ascii="仿宋_GB2312" w:hAnsi="仿宋_GB2312" w:eastAsia="仿宋_GB2312" w:cs="仿宋_GB2312"/>
          <w:sz w:val="32"/>
          <w:lang w:val="en-US" w:eastAsia="zh-CN"/>
        </w:rPr>
        <w:t>5</w:t>
      </w:r>
      <w:r>
        <w:rPr>
          <w:rFonts w:hint="eastAsia" w:ascii="仿宋_GB2312" w:hAnsi="仿宋_GB2312" w:eastAsia="仿宋_GB2312" w:cs="仿宋_GB2312"/>
          <w:sz w:val="32"/>
        </w:rPr>
        <w:t>年无国有资本经营预算拨款安排的支出。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val="en-US" w:eastAsia="zh-CN"/>
        </w:rPr>
        <w:t>八、其他重要事项的情况说明</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rPr>
        <w:t>（一）机关运行经费</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lang w:eastAsia="zh-CN"/>
        </w:rPr>
      </w:pPr>
      <w:r>
        <w:rPr>
          <w:rFonts w:hint="eastAsia" w:ascii="仿宋_GB2312" w:hAnsi="仿宋_GB2312" w:eastAsia="仿宋_GB2312" w:cs="仿宋_GB2312"/>
          <w:sz w:val="32"/>
        </w:rPr>
        <w:t>广元市</w:t>
      </w:r>
      <w:r>
        <w:rPr>
          <w:rFonts w:hint="eastAsia" w:ascii="仿宋_GB2312" w:hAnsi="仿宋_GB2312" w:eastAsia="仿宋_GB2312" w:cs="仿宋_GB2312"/>
          <w:sz w:val="32"/>
          <w:lang w:val="en-US" w:eastAsia="zh-CN"/>
        </w:rPr>
        <w:t>非遗中心</w:t>
      </w:r>
      <w:r>
        <w:rPr>
          <w:rFonts w:hint="eastAsia" w:ascii="仿宋_GB2312" w:hAnsi="仿宋_GB2312" w:eastAsia="仿宋_GB2312" w:cs="仿宋_GB2312"/>
          <w:sz w:val="32"/>
        </w:rPr>
        <w:t>为事业单位，</w:t>
      </w:r>
      <w:r>
        <w:rPr>
          <w:rFonts w:hint="eastAsia" w:ascii="仿宋_GB2312" w:hAnsi="仿宋_GB2312" w:eastAsia="仿宋_GB2312" w:cs="仿宋_GB2312"/>
          <w:sz w:val="32"/>
          <w:lang w:eastAsia="zh-CN"/>
        </w:rPr>
        <w:t>按规定未使用机关运行的相关科目。</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rPr>
        <w:t>（二）政府采购情况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202</w:t>
      </w:r>
      <w:r>
        <w:rPr>
          <w:rFonts w:hint="eastAsia" w:ascii="仿宋_GB2312" w:hAnsi="仿宋_GB2312" w:eastAsia="仿宋_GB2312" w:cs="仿宋_GB2312"/>
          <w:sz w:val="32"/>
          <w:lang w:val="en-US" w:eastAsia="zh-CN"/>
        </w:rPr>
        <w:t>5</w:t>
      </w:r>
      <w:r>
        <w:rPr>
          <w:rFonts w:hint="eastAsia" w:ascii="仿宋_GB2312" w:hAnsi="仿宋_GB2312" w:eastAsia="仿宋_GB2312" w:cs="仿宋_GB2312"/>
          <w:sz w:val="32"/>
        </w:rPr>
        <w:t>年，广元市</w:t>
      </w:r>
      <w:r>
        <w:rPr>
          <w:rFonts w:hint="eastAsia" w:ascii="仿宋_GB2312" w:hAnsi="仿宋_GB2312" w:eastAsia="仿宋_GB2312" w:cs="仿宋_GB2312"/>
          <w:sz w:val="32"/>
          <w:lang w:val="en-US" w:eastAsia="zh-CN"/>
        </w:rPr>
        <w:t>非遗中心</w:t>
      </w:r>
      <w:r>
        <w:rPr>
          <w:rFonts w:hint="eastAsia" w:ascii="仿宋_GB2312" w:hAnsi="仿宋_GB2312" w:eastAsia="仿宋_GB2312" w:cs="仿宋_GB2312"/>
          <w:sz w:val="32"/>
        </w:rPr>
        <w:t>安排政府采购预算0万元。</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 w:hAnsi="楷体" w:eastAsia="楷体" w:cs="楷体"/>
          <w:sz w:val="32"/>
        </w:rPr>
      </w:pPr>
      <w:r>
        <w:rPr>
          <w:rFonts w:hint="eastAsia" w:ascii="楷体" w:hAnsi="楷体" w:eastAsia="楷体" w:cs="楷体"/>
          <w:sz w:val="32"/>
        </w:rPr>
        <w:t>（三）国有资产占有使用情况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截至202</w:t>
      </w:r>
      <w:r>
        <w:rPr>
          <w:rFonts w:hint="eastAsia" w:ascii="仿宋_GB2312" w:hAnsi="仿宋_GB2312" w:eastAsia="仿宋_GB2312" w:cs="仿宋_GB2312"/>
          <w:sz w:val="32"/>
          <w:lang w:val="en-US" w:eastAsia="zh-CN"/>
        </w:rPr>
        <w:t>4</w:t>
      </w:r>
      <w:r>
        <w:rPr>
          <w:rFonts w:hint="eastAsia" w:ascii="仿宋_GB2312" w:hAnsi="仿宋_GB2312" w:eastAsia="仿宋_GB2312" w:cs="仿宋_GB2312"/>
          <w:sz w:val="32"/>
        </w:rPr>
        <w:t>年底，广元市</w:t>
      </w:r>
      <w:r>
        <w:rPr>
          <w:rFonts w:hint="eastAsia" w:ascii="仿宋_GB2312" w:hAnsi="仿宋_GB2312" w:eastAsia="仿宋_GB2312" w:cs="仿宋_GB2312"/>
          <w:sz w:val="32"/>
          <w:lang w:val="en-US" w:eastAsia="zh-CN"/>
        </w:rPr>
        <w:t>非遗中心</w:t>
      </w:r>
      <w:r>
        <w:rPr>
          <w:rFonts w:hint="eastAsia" w:ascii="仿宋_GB2312" w:hAnsi="仿宋_GB2312" w:eastAsia="仿宋_GB2312" w:cs="仿宋_GB2312"/>
          <w:sz w:val="32"/>
        </w:rPr>
        <w:t>共有车辆</w:t>
      </w:r>
      <w:r>
        <w:rPr>
          <w:rFonts w:hint="eastAsia" w:ascii="仿宋_GB2312" w:hAnsi="仿宋_GB2312" w:eastAsia="仿宋_GB2312" w:cs="仿宋_GB2312"/>
          <w:sz w:val="32"/>
          <w:lang w:val="en-US" w:eastAsia="zh-CN"/>
        </w:rPr>
        <w:t>0</w:t>
      </w:r>
      <w:r>
        <w:rPr>
          <w:rFonts w:hint="eastAsia" w:ascii="仿宋_GB2312" w:hAnsi="仿宋_GB2312" w:eastAsia="仿宋_GB2312" w:cs="仿宋_GB2312"/>
          <w:sz w:val="32"/>
        </w:rPr>
        <w:t>辆。单位无价值200万元以上的大型设备。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202</w:t>
      </w:r>
      <w:r>
        <w:rPr>
          <w:rFonts w:hint="eastAsia" w:ascii="仿宋_GB2312" w:hAnsi="仿宋_GB2312" w:eastAsia="仿宋_GB2312" w:cs="仿宋_GB2312"/>
          <w:sz w:val="32"/>
          <w:lang w:val="en-US" w:eastAsia="zh-CN"/>
        </w:rPr>
        <w:t>5</w:t>
      </w:r>
      <w:r>
        <w:rPr>
          <w:rFonts w:hint="eastAsia" w:ascii="仿宋_GB2312" w:hAnsi="仿宋_GB2312" w:eastAsia="仿宋_GB2312" w:cs="仿宋_GB2312"/>
          <w:sz w:val="32"/>
        </w:rPr>
        <w:t>年</w:t>
      </w:r>
      <w:r>
        <w:rPr>
          <w:rFonts w:hint="eastAsia" w:ascii="仿宋_GB2312" w:hAnsi="仿宋_GB2312" w:eastAsia="仿宋_GB2312" w:cs="仿宋_GB2312"/>
          <w:sz w:val="32"/>
          <w:lang w:val="en-US" w:eastAsia="zh-CN"/>
        </w:rPr>
        <w:t>单位</w:t>
      </w:r>
      <w:r>
        <w:rPr>
          <w:rFonts w:hint="eastAsia" w:ascii="仿宋_GB2312" w:hAnsi="仿宋_GB2312" w:eastAsia="仿宋_GB2312" w:cs="仿宋_GB2312"/>
          <w:sz w:val="32"/>
        </w:rPr>
        <w:t>预算未安排购置车辆及单位价值200万元以上大型设备。</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lang w:val="en-US" w:eastAsia="zh-CN"/>
        </w:rPr>
        <w:t>（四）绩效目标设置情况</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color w:val="auto"/>
          <w:sz w:val="32"/>
          <w:szCs w:val="32"/>
          <w:highlight w:val="yellow"/>
          <w:lang w:val="en-US" w:eastAsia="zh-CN"/>
        </w:rPr>
      </w:pPr>
      <w:r>
        <w:rPr>
          <w:rFonts w:hint="eastAsia" w:ascii="仿宋_GB2312" w:hAnsi="仿宋_GB2312" w:eastAsia="仿宋_GB2312" w:cs="仿宋_GB2312"/>
          <w:sz w:val="32"/>
          <w:szCs w:val="32"/>
          <w:lang w:val="en-US" w:eastAsia="zh-CN"/>
        </w:rPr>
        <w:t>2025年广元市非物质文化遗产保护中心开展绩效目标管理的项目9个，涉及预算85.41万元。其中：人员类项目5个，涉及预算71.89万元；运转类项目3个，涉及预算6.37万元；特定目标类项目1个，涉及预算7.15万元。无涉密项目。</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bCs/>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名词解释</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黑体" w:eastAsia="黑体" w:cs="黑体"/>
          <w:sz w:val="32"/>
          <w:szCs w:val="32"/>
          <w:lang w:val="en-US" w:eastAsia="zh-CN"/>
        </w:rPr>
      </w:pPr>
    </w:p>
    <w:p>
      <w:pPr>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br w:type="page"/>
      </w:r>
    </w:p>
    <w:p>
      <w:pPr>
        <w:keepNext w:val="0"/>
        <w:keepLines w:val="0"/>
        <w:pageBreakBefore w:val="0"/>
        <w:widowControl w:val="0"/>
        <w:numPr>
          <w:ilvl w:val="0"/>
          <w:numId w:val="7"/>
        </w:numPr>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财政拨款收入:</w:t>
      </w:r>
      <w:r>
        <w:rPr>
          <w:rFonts w:hint="eastAsia" w:ascii="仿宋_GB2312" w:hAnsi="仿宋_GB2312" w:eastAsia="仿宋_GB2312" w:cs="仿宋_GB2312"/>
          <w:sz w:val="32"/>
          <w:szCs w:val="32"/>
          <w:lang w:val="en-US" w:eastAsia="zh-CN"/>
        </w:rPr>
        <w:t>指市财政当年安排的财政预算收入。按现行管理制度</w:t>
      </w:r>
      <w:r>
        <w:rPr>
          <w:rFonts w:hint="default"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lang w:val="en-US" w:eastAsia="zh-CN"/>
        </w:rPr>
        <w:t>部门预算中反映的财政拨款包括一般公共预算拨款和政府性基金预算拨款。</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黑体" w:hAnsi="黑体" w:eastAsia="黑体" w:cs="黑体"/>
          <w:sz w:val="32"/>
          <w:szCs w:val="32"/>
          <w:lang w:val="en-US" w:eastAsia="zh-CN"/>
        </w:rPr>
        <w:t>二、文化旅游体育与传媒支出（类）文化和旅游（款）文化创作与保护（项）</w:t>
      </w:r>
      <w:r>
        <w:rPr>
          <w:rFonts w:hint="eastAsia" w:ascii="楷体_GB2312" w:hAnsi="楷体_GB2312" w:eastAsia="楷体_GB2312" w:cs="楷体_GB2312"/>
          <w:sz w:val="32"/>
          <w:szCs w:val="32"/>
          <w:lang w:val="en-US" w:eastAsia="zh-CN"/>
        </w:rPr>
        <w:t>：</w:t>
      </w:r>
      <w:r>
        <w:rPr>
          <w:rFonts w:hint="eastAsia" w:ascii="仿宋_GB2312" w:hAnsi="仿宋_GB2312" w:eastAsia="仿宋_GB2312" w:cs="仿宋_GB2312"/>
          <w:sz w:val="32"/>
          <w:szCs w:val="32"/>
          <w:lang w:val="en-US" w:eastAsia="zh-CN"/>
        </w:rPr>
        <w:t>指</w:t>
      </w:r>
      <w:r>
        <w:rPr>
          <w:rFonts w:hint="eastAsia" w:ascii="仿宋_GB2312" w:hAnsi="仿宋_GB2312" w:eastAsia="仿宋_GB2312" w:cs="仿宋_GB2312"/>
          <w:color w:val="auto"/>
          <w:sz w:val="32"/>
          <w:szCs w:val="32"/>
          <w:highlight w:val="none"/>
          <w:lang w:val="en-US" w:eastAsia="zh-CN"/>
        </w:rPr>
        <w:t>反映鼓励文学、艺术创作和优秀传统文化保护方面的支出。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黑体" w:hAnsi="黑体" w:eastAsia="黑体" w:cs="黑体"/>
          <w:sz w:val="32"/>
          <w:szCs w:val="32"/>
          <w:lang w:val="en-US" w:eastAsia="zh-CN"/>
        </w:rPr>
        <w:t>三、社会保障和就业（类）行政事业单位养老支出（款）机关事业单位基本养老保险缴费支出（项）：</w:t>
      </w:r>
      <w:r>
        <w:rPr>
          <w:rFonts w:hint="eastAsia" w:ascii="仿宋_GB2312" w:hAnsi="仿宋_GB2312" w:eastAsia="仿宋_GB2312" w:cs="仿宋_GB2312"/>
          <w:sz w:val="32"/>
          <w:szCs w:val="32"/>
          <w:lang w:val="en-US" w:eastAsia="zh-CN"/>
        </w:rPr>
        <w:t>指部门实施养老保险制度由单位缴纳的养老保险的支出。</w:t>
      </w:r>
    </w:p>
    <w:p>
      <w:pPr>
        <w:keepNext w:val="0"/>
        <w:keepLines w:val="0"/>
        <w:pageBreakBefore w:val="0"/>
        <w:widowControl w:val="0"/>
        <w:numPr>
          <w:ilvl w:val="0"/>
          <w:numId w:val="0"/>
        </w:numPr>
        <w:kinsoku/>
        <w:wordWrap/>
        <w:overflowPunct/>
        <w:topLinePunct w:val="0"/>
        <w:autoSpaceDE/>
        <w:autoSpaceDN/>
        <w:bidi w:val="0"/>
        <w:adjustRightInd/>
        <w:snapToGrid/>
        <w:spacing w:line="576" w:lineRule="exact"/>
        <w:ind w:firstLine="640" w:firstLineChars="200"/>
        <w:textAlignment w:val="auto"/>
        <w:rPr>
          <w:rFonts w:hint="default" w:ascii="楷体_GB2312" w:hAnsi="楷体_GB2312" w:eastAsia="楷体_GB2312" w:cs="楷体_GB2312"/>
          <w:color w:val="auto"/>
          <w:sz w:val="32"/>
          <w:szCs w:val="32"/>
          <w:highlight w:val="none"/>
          <w:lang w:val="en-US" w:eastAsia="zh-CN"/>
        </w:rPr>
      </w:pPr>
      <w:r>
        <w:rPr>
          <w:rFonts w:hint="eastAsia" w:ascii="黑体" w:hAnsi="黑体" w:eastAsia="黑体" w:cs="黑体"/>
          <w:color w:val="auto"/>
          <w:sz w:val="32"/>
          <w:szCs w:val="32"/>
          <w:highlight w:val="none"/>
          <w:lang w:val="en-US" w:eastAsia="zh-CN"/>
        </w:rPr>
        <w:t>四、社会保障和就业（类）其他社会保障和就业支出（款）其他社会保障和就业支出（项）：</w:t>
      </w:r>
      <w:r>
        <w:rPr>
          <w:rFonts w:hint="eastAsia" w:ascii="仿宋_GB2312" w:hAnsi="仿宋_GB2312" w:eastAsia="仿宋_GB2312" w:cs="仿宋_GB2312"/>
          <w:color w:val="auto"/>
          <w:sz w:val="32"/>
          <w:szCs w:val="32"/>
          <w:highlight w:val="none"/>
          <w:lang w:val="en-US" w:eastAsia="zh-CN"/>
        </w:rPr>
        <w:t>反映除上述项目以外其他用于社会保障和就业方面的支出。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五、卫生健康（类）行政事业单位医疗（款）事业单位医疗（项）：</w:t>
      </w:r>
      <w:r>
        <w:rPr>
          <w:rFonts w:hint="eastAsia" w:ascii="仿宋_GB2312" w:hAnsi="仿宋_GB2312" w:eastAsia="仿宋_GB2312" w:cs="仿宋_GB2312"/>
          <w:sz w:val="32"/>
          <w:szCs w:val="32"/>
          <w:lang w:val="en-US" w:eastAsia="zh-CN"/>
        </w:rPr>
        <w:t>指事业单位用于单位应缴纳基本医疗保险支出。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lang w:val="en-US" w:eastAsia="zh-CN"/>
        </w:rPr>
        <w:t>六、住房保障（类）住房改革支出（款）住房公积金（项）：</w:t>
      </w:r>
      <w:r>
        <w:rPr>
          <w:rFonts w:hint="eastAsia" w:ascii="仿宋_GB2312" w:hAnsi="仿宋_GB2312" w:eastAsia="仿宋_GB2312" w:cs="仿宋_GB2312"/>
          <w:sz w:val="32"/>
          <w:szCs w:val="32"/>
          <w:lang w:val="en-US" w:eastAsia="zh-CN"/>
        </w:rPr>
        <w:t>指按照《住房公积金管理条例》的规定，由单位及其在职职工缴存的长期住房储金。</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w:t>
      </w:r>
      <w:r>
        <w:rPr>
          <w:rFonts w:hint="eastAsia" w:ascii="黑体" w:hAnsi="黑体" w:eastAsia="黑体" w:cs="黑体"/>
          <w:sz w:val="32"/>
          <w:szCs w:val="32"/>
          <w:lang w:val="en-US" w:eastAsia="zh-CN"/>
        </w:rPr>
        <w:t>七、基本支出：</w:t>
      </w:r>
      <w:r>
        <w:rPr>
          <w:rFonts w:hint="eastAsia" w:ascii="仿宋_GB2312" w:hAnsi="仿宋_GB2312" w:eastAsia="仿宋_GB2312" w:cs="仿宋_GB2312"/>
          <w:sz w:val="32"/>
          <w:szCs w:val="32"/>
          <w:lang w:val="en-US" w:eastAsia="zh-CN"/>
        </w:rPr>
        <w:t>指为保证机构正常运转，完成日常工作任务而发生的人员支出和公用支出。</w:t>
      </w:r>
      <w:r>
        <w:rPr>
          <w:rFonts w:hint="eastAsia" w:ascii="仿宋_GB2312" w:hAnsi="仿宋_GB2312" w:eastAsia="仿宋_GB2312" w:cs="仿宋_GB2312"/>
          <w:sz w:val="32"/>
          <w:szCs w:val="32"/>
          <w:lang w:val="en-US" w:eastAsia="zh-CN"/>
        </w:rPr>
        <w:br w:type="textWrapping"/>
      </w: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lang w:val="en-US" w:eastAsia="zh-CN"/>
        </w:rPr>
        <w:t xml:space="preserve"> 八、项目支出：</w:t>
      </w:r>
      <w:r>
        <w:rPr>
          <w:rFonts w:hint="eastAsia" w:ascii="仿宋_GB2312" w:hAnsi="仿宋_GB2312" w:eastAsia="仿宋_GB2312" w:cs="仿宋_GB2312"/>
          <w:sz w:val="32"/>
          <w:szCs w:val="32"/>
          <w:lang w:val="en-US" w:eastAsia="zh-CN"/>
        </w:rPr>
        <w:t>指在基本支出之外为完成特定行政任务和事业发展目标所发生的支出。</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b/>
          <w:bCs/>
          <w:sz w:val="32"/>
          <w:szCs w:val="32"/>
          <w:lang w:val="en-US" w:eastAsia="zh-CN"/>
        </w:rPr>
      </w:pPr>
      <w:r>
        <w:rPr>
          <w:rFonts w:hint="eastAsia" w:ascii="黑体" w:hAnsi="黑体" w:eastAsia="黑体" w:cs="黑体"/>
          <w:sz w:val="32"/>
          <w:szCs w:val="32"/>
          <w:lang w:val="en-US" w:eastAsia="zh-CN"/>
        </w:rPr>
        <w:t>九、“三公”经费：</w:t>
      </w:r>
      <w:r>
        <w:rPr>
          <w:rFonts w:hint="eastAsia" w:ascii="仿宋_GB2312" w:hAnsi="仿宋_GB2312" w:eastAsia="仿宋_GB2312" w:cs="仿宋_GB2312"/>
          <w:sz w:val="32"/>
          <w:szCs w:val="32"/>
          <w:lang w:val="en-US" w:eastAsia="zh-CN"/>
        </w:rPr>
        <w:t>纳入市级财政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_GB2312" w:hAnsi="仿宋_GB2312" w:eastAsia="仿宋_GB2312" w:cs="仿宋_GB2312"/>
          <w:sz w:val="32"/>
          <w:szCs w:val="32"/>
          <w:lang w:val="en-US" w:eastAsia="zh-CN"/>
        </w:rPr>
        <w:br w:type="textWrapping"/>
      </w: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pStyle w:val="2"/>
        <w:rPr>
          <w:rFonts w:hint="eastAsia" w:ascii="仿宋_GB2312" w:hAnsi="仿宋_GB2312" w:eastAsia="仿宋_GB2312" w:cs="仿宋_GB2312"/>
          <w:b/>
          <w:bCs/>
          <w:sz w:val="32"/>
          <w:szCs w:val="32"/>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2" w:firstLineChars="200"/>
        <w:textAlignment w:val="auto"/>
        <w:rPr>
          <w:rFonts w:hint="eastAsia" w:ascii="仿宋_GB2312" w:hAnsi="仿宋_GB2312" w:eastAsia="仿宋_GB2312" w:cs="仿宋_GB2312"/>
          <w:b/>
          <w:bCs/>
          <w:sz w:val="32"/>
          <w:szCs w:val="32"/>
          <w:lang w:val="en-US" w:eastAsia="zh-CN"/>
        </w:rPr>
      </w:pPr>
    </w:p>
    <w:p>
      <w:pPr>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0" w:leftChars="0" w:right="0" w:firstLine="0" w:firstLineChars="0"/>
        <w:jc w:val="cente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广元市非物质文化遗保护中心</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firstLine="2640" w:firstLineChars="60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r>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t>2025年单位预算表</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580" w:lineRule="atLeast"/>
        <w:ind w:leftChars="0" w:right="0" w:rightChars="0"/>
        <w:jc w:val="both"/>
        <w:rPr>
          <w:rFonts w:hint="eastAsia" w:ascii="方正小标宋简体" w:hAnsi="方正小标宋简体" w:eastAsia="方正小标宋简体" w:cs="方正小标宋简体"/>
          <w:b w:val="0"/>
          <w:bCs w:val="0"/>
          <w:i w:val="0"/>
          <w:caps w:val="0"/>
          <w:color w:val="000000" w:themeColor="text1"/>
          <w:spacing w:val="0"/>
          <w:kern w:val="0"/>
          <w:sz w:val="44"/>
          <w:szCs w:val="44"/>
          <w:highlight w:val="none"/>
          <w:shd w:val="clear" w:color="auto" w:fill="FFFFFF"/>
          <w:lang w:val="en-US" w:eastAsia="zh-CN" w:bidi="ar"/>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lang w:val="en-US" w:eastAsia="zh-CN"/>
        </w:rPr>
        <w:sectPr>
          <w:pgSz w:w="11906" w:h="16838"/>
          <w:pgMar w:top="2098" w:right="1474" w:bottom="1984" w:left="158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pPr>
    </w:p>
    <w:tbl>
      <w:tblPr>
        <w:tblStyle w:val="9"/>
        <w:tblW w:w="1279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4604"/>
        <w:gridCol w:w="1796"/>
        <w:gridCol w:w="4604"/>
        <w:gridCol w:w="17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460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w:t>
            </w:r>
          </w:p>
        </w:tc>
        <w:tc>
          <w:tcPr>
            <w:tcW w:w="1796" w:type="dxa"/>
            <w:tcBorders>
              <w:top w:val="nil"/>
              <w:left w:val="nil"/>
              <w:bottom w:val="nil"/>
              <w:right w:val="nil"/>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p>
        </w:tc>
        <w:tc>
          <w:tcPr>
            <w:tcW w:w="4604"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p>
        </w:tc>
        <w:tc>
          <w:tcPr>
            <w:tcW w:w="179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部门收支总表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4604" w:type="dxa"/>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一、一般公共预算拨款收入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85.41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一、一般公共服务支出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二、政府性基金预算拨款收入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二、外交支出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三、国有资本经营预算拨款收入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三、国防支出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四、事业收入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四、公共安全支出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五、事业单位经营收入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五、教育支出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六、其他收入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六、科学技术支出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七、文化旅游体育与传媒支出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68.23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八、社会保障和就业支出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8.10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九、社会保险基金支出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十、卫生健康支出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2.55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十一、节能环保支出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十二、城乡社区支出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十三、农林水支出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十四、交通运输支出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十五、资源勘探工业信息等支出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十六、商业服务业等支出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十七、金融支出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十八、援助其他地区支出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十九、自然资源海洋气象等支出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二十、住房保障支出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6.52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二十一、粮油物资储备支出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二十二、国有资本经营预算支出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二十三、灾害防治及应急管理支出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二十四、预备费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二十五、其他支出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二十六、转移性支出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二十七、债务还本支出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二十八、债务付息支出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二十九、债务发行费用支出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三十、抗疫特别国债安排的支出</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 年 收 入 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本 年 支 出 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七、用事业基金弥补收支差额</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三十一、事业单位结余分配 </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八、上年结转</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其中：转入事业基金</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4604"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Hiragino Sans GB" w:hAnsi="Hiragino Sans GB" w:eastAsia="Hiragino Sans GB" w:cs="Hiragino Sans GB"/>
                <w:i w:val="0"/>
                <w:iCs w:val="0"/>
                <w:color w:val="000000"/>
                <w:sz w:val="18"/>
                <w:szCs w:val="18"/>
                <w:u w:val="none"/>
              </w:rPr>
            </w:pPr>
          </w:p>
        </w:tc>
        <w:tc>
          <w:tcPr>
            <w:tcW w:w="179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default" w:ascii="Hiragino Sans GB" w:hAnsi="Hiragino Sans GB" w:eastAsia="Hiragino Sans GB" w:cs="Hiragino Sans GB"/>
                <w:i w:val="0"/>
                <w:iCs w:val="0"/>
                <w:color w:val="000000"/>
                <w:sz w:val="18"/>
                <w:szCs w:val="18"/>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三十二、结转下年</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  总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  总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r>
    </w:tbl>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497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49"/>
        <w:gridCol w:w="438"/>
        <w:gridCol w:w="300"/>
        <w:gridCol w:w="240"/>
        <w:gridCol w:w="1035"/>
        <w:gridCol w:w="751"/>
        <w:gridCol w:w="307"/>
        <w:gridCol w:w="949"/>
        <w:gridCol w:w="27"/>
        <w:gridCol w:w="840"/>
        <w:gridCol w:w="81"/>
        <w:gridCol w:w="842"/>
        <w:gridCol w:w="416"/>
        <w:gridCol w:w="539"/>
        <w:gridCol w:w="455"/>
        <w:gridCol w:w="427"/>
        <w:gridCol w:w="809"/>
        <w:gridCol w:w="20"/>
        <w:gridCol w:w="300"/>
        <w:gridCol w:w="592"/>
        <w:gridCol w:w="526"/>
        <w:gridCol w:w="326"/>
        <w:gridCol w:w="889"/>
        <w:gridCol w:w="517"/>
        <w:gridCol w:w="698"/>
        <w:gridCol w:w="344"/>
        <w:gridCol w:w="799"/>
        <w:gridCol w:w="95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87" w:type="dxa"/>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附表2</w:t>
            </w:r>
          </w:p>
        </w:tc>
        <w:tc>
          <w:tcPr>
            <w:tcW w:w="2333" w:type="dxa"/>
            <w:gridSpan w:val="4"/>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97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23"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55" w:type="dxa"/>
            <w:gridSpan w:val="2"/>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882" w:type="dxa"/>
            <w:gridSpan w:val="2"/>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809" w:type="dxa"/>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912"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852"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406" w:type="dxa"/>
            <w:gridSpan w:val="2"/>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1042" w:type="dxa"/>
            <w:gridSpan w:val="2"/>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175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957" w:type="dxa"/>
          <w:trHeight w:val="456" w:hRule="atLeast"/>
        </w:trPr>
        <w:tc>
          <w:tcPr>
            <w:tcW w:w="14016" w:type="dxa"/>
            <w:gridSpan w:val="27"/>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部门收入总表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3620" w:type="dxa"/>
            <w:gridSpan w:val="7"/>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976" w:type="dxa"/>
            <w:gridSpan w:val="2"/>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840"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923"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55" w:type="dxa"/>
            <w:gridSpan w:val="2"/>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882"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809" w:type="dxa"/>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12" w:type="dxa"/>
            <w:gridSpan w:val="3"/>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852"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6"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042"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756" w:type="dxa"/>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3620"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97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8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w:t>
            </w:r>
          </w:p>
        </w:tc>
        <w:tc>
          <w:tcPr>
            <w:tcW w:w="923"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拨款收入</w:t>
            </w:r>
          </w:p>
        </w:tc>
        <w:tc>
          <w:tcPr>
            <w:tcW w:w="955"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政府性基金预算拨款收入</w:t>
            </w:r>
          </w:p>
        </w:tc>
        <w:tc>
          <w:tcPr>
            <w:tcW w:w="88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预算拨款收入</w:t>
            </w:r>
          </w:p>
        </w:tc>
        <w:tc>
          <w:tcPr>
            <w:tcW w:w="80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事业收入</w:t>
            </w:r>
          </w:p>
        </w:tc>
        <w:tc>
          <w:tcPr>
            <w:tcW w:w="912"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事业单位经营</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 xml:space="preserve">收入 </w:t>
            </w:r>
          </w:p>
        </w:tc>
        <w:tc>
          <w:tcPr>
            <w:tcW w:w="85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其他收入</w:t>
            </w:r>
          </w:p>
        </w:tc>
        <w:tc>
          <w:tcPr>
            <w:tcW w:w="140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上级补助收入</w:t>
            </w:r>
          </w:p>
        </w:tc>
        <w:tc>
          <w:tcPr>
            <w:tcW w:w="104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附属单位上缴</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收入</w:t>
            </w:r>
          </w:p>
        </w:tc>
        <w:tc>
          <w:tcPr>
            <w:tcW w:w="175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用事业基金弥补收支差额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287"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2333"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97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9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9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91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5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40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0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75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287"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333"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97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923"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955"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8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0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912"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85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40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04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75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8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325908</w:t>
            </w:r>
          </w:p>
        </w:tc>
        <w:tc>
          <w:tcPr>
            <w:tcW w:w="233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广元市非物质文化遗产保护中心</w:t>
            </w: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8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3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8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3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8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3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8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3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8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3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287"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3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97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23"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5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0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912"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85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7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00" w:hRule="atLeast"/>
        </w:trPr>
        <w:tc>
          <w:tcPr>
            <w:tcW w:w="1527" w:type="dxa"/>
            <w:gridSpan w:val="4"/>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hint="default" w:ascii="方正黑体简体" w:hAnsi="方正黑体简体" w:eastAsia="方正黑体简体" w:cs="方正黑体简体"/>
                <w:i w:val="0"/>
                <w:iCs w:val="0"/>
                <w:color w:val="000000"/>
                <w:kern w:val="0"/>
                <w:sz w:val="24"/>
                <w:szCs w:val="24"/>
                <w:u w:val="none"/>
                <w:lang w:val="en-US" w:eastAsia="zh-CN" w:bidi="ar"/>
              </w:rPr>
            </w:pPr>
          </w:p>
          <w:p>
            <w:pPr>
              <w:keepNext w:val="0"/>
              <w:keepLines w:val="0"/>
              <w:widowControl/>
              <w:suppressLineNumbers w:val="0"/>
              <w:jc w:val="left"/>
              <w:textAlignment w:val="center"/>
              <w:rPr>
                <w:rFonts w:hint="default" w:ascii="方正黑体简体" w:hAnsi="方正黑体简体" w:eastAsia="方正黑体简体" w:cs="方正黑体简体"/>
                <w:i w:val="0"/>
                <w:iCs w:val="0"/>
                <w:color w:val="000000"/>
                <w:kern w:val="0"/>
                <w:sz w:val="24"/>
                <w:szCs w:val="24"/>
                <w:u w:val="none"/>
                <w:lang w:val="en-US" w:eastAsia="zh-CN" w:bidi="ar"/>
              </w:rPr>
            </w:pPr>
          </w:p>
          <w:p>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附表3</w:t>
            </w:r>
          </w:p>
        </w:tc>
        <w:tc>
          <w:tcPr>
            <w:tcW w:w="1035" w:type="dxa"/>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2955" w:type="dxa"/>
            <w:gridSpan w:val="6"/>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1258"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21"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129"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44"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p>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p>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p>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p>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表1-2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456" w:hRule="atLeast"/>
        </w:trPr>
        <w:tc>
          <w:tcPr>
            <w:tcW w:w="12175" w:type="dxa"/>
            <w:gridSpan w:val="24"/>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部门支出总表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391" w:hRule="atLeast"/>
        </w:trPr>
        <w:tc>
          <w:tcPr>
            <w:tcW w:w="5517" w:type="dxa"/>
            <w:gridSpan w:val="11"/>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258" w:type="dxa"/>
            <w:gridSpan w:val="2"/>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421" w:type="dxa"/>
            <w:gridSpan w:val="3"/>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129" w:type="dxa"/>
            <w:gridSpan w:val="3"/>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44" w:type="dxa"/>
            <w:gridSpan w:val="3"/>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6" w:type="dxa"/>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488" w:hRule="atLeast"/>
        </w:trPr>
        <w:tc>
          <w:tcPr>
            <w:tcW w:w="5517" w:type="dxa"/>
            <w:gridSpan w:val="11"/>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21" w:type="dxa"/>
            <w:gridSpan w:val="3"/>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129"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1444"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上缴上级支出</w:t>
            </w:r>
          </w:p>
        </w:tc>
        <w:tc>
          <w:tcPr>
            <w:tcW w:w="140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对附属单位补助支出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488" w:hRule="atLeast"/>
        </w:trPr>
        <w:tc>
          <w:tcPr>
            <w:tcW w:w="1527"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03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2955" w:type="dxa"/>
            <w:gridSpan w:val="6"/>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25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42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12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444"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40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488"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03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955"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25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421"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12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444"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140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合   计</w:t>
            </w: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85.41</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78.26</w:t>
            </w: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 xml:space="preserve">   7.15</w:t>
            </w: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85.41</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78.26</w:t>
            </w: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7.15</w:t>
            </w: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207</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w:t>
            </w: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文化创作与保护</w:t>
            </w: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68.23</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61.08</w:t>
            </w: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7.15</w:t>
            </w: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208</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w:t>
            </w: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05</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机关事业单位基本养老保险缴费支出</w:t>
            </w: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7.80</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7.80</w:t>
            </w: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208</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99</w:t>
            </w: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99</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其它社会保障和就业支出</w:t>
            </w: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0.30</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0.30</w:t>
            </w: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210</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w:t>
            </w: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02</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事业单位医疗</w:t>
            </w: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2.55</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2.55</w:t>
            </w: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221</w:t>
            </w: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02</w:t>
            </w: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w:t>
            </w: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住房公积金</w:t>
            </w: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6.52</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6.52</w:t>
            </w: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4"/>
          <w:wAfter w:w="2798" w:type="dxa"/>
          <w:trHeight w:val="540" w:hRule="atLeast"/>
        </w:trPr>
        <w:tc>
          <w:tcPr>
            <w:tcW w:w="54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0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955"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25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129"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40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500" w:hRule="atLeast"/>
        </w:trPr>
        <w:tc>
          <w:tcPr>
            <w:tcW w:w="3313" w:type="dxa"/>
            <w:gridSpan w:val="6"/>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附表4</w:t>
            </w:r>
          </w:p>
        </w:tc>
        <w:tc>
          <w:tcPr>
            <w:tcW w:w="1256"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3200" w:type="dxa"/>
            <w:gridSpan w:val="7"/>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256"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418"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215"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215"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br w:type="textWrapping"/>
            </w:r>
            <w:r>
              <w:rPr>
                <w:rFonts w:ascii="宋体" w:hAnsi="宋体" w:eastAsia="宋体" w:cs="宋体"/>
                <w:i w:val="0"/>
                <w:iCs w:val="0"/>
                <w:color w:val="000000"/>
                <w:kern w:val="0"/>
                <w:sz w:val="22"/>
                <w:szCs w:val="22"/>
                <w:u w:val="none"/>
                <w:lang w:val="en-US" w:eastAsia="zh-CN" w:bidi="ar"/>
              </w:rPr>
              <w:t>表2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456" w:hRule="atLeast"/>
        </w:trPr>
        <w:tc>
          <w:tcPr>
            <w:tcW w:w="12873" w:type="dxa"/>
            <w:gridSpan w:val="25"/>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ascii="黑体" w:hAnsi="宋体" w:eastAsia="黑体" w:cs="黑体"/>
                <w:b/>
                <w:bCs/>
                <w:i w:val="0"/>
                <w:iCs w:val="0"/>
                <w:color w:val="000000"/>
                <w:sz w:val="32"/>
                <w:szCs w:val="32"/>
                <w:u w:val="none"/>
              </w:rPr>
            </w:pPr>
            <w:r>
              <w:rPr>
                <w:rFonts w:hint="eastAsia" w:ascii="黑体" w:hAnsi="宋体" w:eastAsia="黑体" w:cs="黑体"/>
                <w:b/>
                <w:bCs/>
                <w:i w:val="0"/>
                <w:iCs w:val="0"/>
                <w:color w:val="000000"/>
                <w:kern w:val="0"/>
                <w:sz w:val="32"/>
                <w:szCs w:val="32"/>
                <w:u w:val="none"/>
                <w:lang w:val="en-US" w:eastAsia="zh-CN" w:bidi="ar"/>
              </w:rPr>
              <w:t>财政拨款收支预算总表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391" w:hRule="atLeast"/>
        </w:trPr>
        <w:tc>
          <w:tcPr>
            <w:tcW w:w="4569" w:type="dxa"/>
            <w:gridSpan w:val="8"/>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3200" w:type="dxa"/>
            <w:gridSpan w:val="7"/>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1256"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3848" w:type="dxa"/>
            <w:gridSpan w:val="7"/>
            <w:tcBorders>
              <w:top w:val="nil"/>
              <w:left w:val="nil"/>
              <w:bottom w:val="nil"/>
              <w:right w:val="nil"/>
            </w:tcBorders>
            <w:shd w:val="clear" w:color="auto" w:fill="auto"/>
            <w:noWrap/>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4569" w:type="dxa"/>
            <w:gridSpan w:val="8"/>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收    入</w:t>
            </w:r>
          </w:p>
        </w:tc>
        <w:tc>
          <w:tcPr>
            <w:tcW w:w="8304" w:type="dxa"/>
            <w:gridSpan w:val="1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支    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预算数</w:t>
            </w: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w:t>
            </w: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政府性基金预算</w:t>
            </w: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85.41</w:t>
            </w: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一、本年支出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85.41</w:t>
            </w: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一般公共服务支出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政府性基金预算拨款收入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外交支出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国防支出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二、上年结转</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公共安全支出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一般公共预算拨款收入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教育支出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政府性基金预算拨款收入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科学技术支出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国有资本经营预算拨款收入</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文化旅游体育与传媒支出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68.23</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68.23</w:t>
            </w: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社会保障和就业支出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8.10</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8.10</w:t>
            </w: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社会保险基金支出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卫生健康支出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2.55</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rPr>
              <w:t>2.55</w:t>
            </w: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节能环保支出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城乡社区支出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农林水支出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交通运输支出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资源勘探工业信息等支出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商业服务业等支出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金融支出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援助其他地区支出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自然资源海洋气象等支出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住房保障支出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6.52</w:t>
            </w: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6.52</w:t>
            </w: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粮油物资储备支出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国有资本经营预算支出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灾害防治及应急管理支出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其他支出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债务付息支出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债务发行费用支出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3"/>
          <w:wAfter w:w="2100" w:type="dxa"/>
          <w:trHeight w:val="600" w:hRule="atLeast"/>
        </w:trPr>
        <w:tc>
          <w:tcPr>
            <w:tcW w:w="3313"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w:t>
            </w:r>
          </w:p>
        </w:tc>
        <w:tc>
          <w:tcPr>
            <w:tcW w:w="125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3200"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 抗疫特别国债安排的支出</w:t>
            </w:r>
          </w:p>
        </w:tc>
        <w:tc>
          <w:tcPr>
            <w:tcW w:w="125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418"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21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bl>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9"/>
        <w:tblW w:w="1356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24"/>
        <w:gridCol w:w="608"/>
        <w:gridCol w:w="1130"/>
        <w:gridCol w:w="2805"/>
        <w:gridCol w:w="1091"/>
        <w:gridCol w:w="1091"/>
        <w:gridCol w:w="947"/>
        <w:gridCol w:w="947"/>
        <w:gridCol w:w="947"/>
        <w:gridCol w:w="561"/>
        <w:gridCol w:w="561"/>
        <w:gridCol w:w="561"/>
        <w:gridCol w:w="561"/>
        <w:gridCol w:w="563"/>
        <w:gridCol w:w="56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jc w:val="center"/>
        </w:trPr>
        <w:tc>
          <w:tcPr>
            <w:tcW w:w="1232" w:type="dxa"/>
            <w:gridSpan w:val="2"/>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附表5：</w:t>
            </w:r>
          </w:p>
        </w:tc>
        <w:tc>
          <w:tcPr>
            <w:tcW w:w="1130"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2805"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091"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091"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947"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947"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947"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126" w:type="dxa"/>
            <w:gridSpan w:val="2"/>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sz w:val="18"/>
                <w:szCs w:val="18"/>
                <w:u w:val="none"/>
                <w:lang w:val="en-US" w:eastAsia="zh-CN"/>
              </w:rPr>
              <w:t>表2-1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13560" w:type="dxa"/>
            <w:gridSpan w:val="15"/>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jc w:val="center"/>
        </w:trPr>
        <w:tc>
          <w:tcPr>
            <w:tcW w:w="5167" w:type="dxa"/>
            <w:gridSpan w:val="4"/>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091"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091" w:type="dxa"/>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947" w:type="dxa"/>
            <w:tcBorders>
              <w:top w:val="single" w:color="FFFFFF" w:sz="4" w:space="0"/>
              <w:left w:val="single" w:color="FFFFFF" w:sz="4" w:space="0"/>
              <w:bottom w:val="nil"/>
              <w:right w:val="single" w:color="FFFFFF" w:sz="4" w:space="0"/>
            </w:tcBorders>
            <w:noWrap/>
            <w:vAlign w:val="center"/>
          </w:tcPr>
          <w:p>
            <w:pPr>
              <w:jc w:val="right"/>
              <w:rPr>
                <w:rFonts w:hint="eastAsia" w:ascii="宋体" w:hAnsi="宋体" w:eastAsia="宋体" w:cs="宋体"/>
                <w:i w:val="0"/>
                <w:iCs w:val="0"/>
                <w:color w:val="000000"/>
                <w:sz w:val="22"/>
                <w:szCs w:val="22"/>
                <w:u w:val="none"/>
              </w:rPr>
            </w:pPr>
          </w:p>
        </w:tc>
        <w:tc>
          <w:tcPr>
            <w:tcW w:w="947"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947"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1"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3"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563" w:type="dxa"/>
            <w:tcBorders>
              <w:top w:val="single" w:color="FFFFFF" w:sz="4" w:space="0"/>
              <w:left w:val="single" w:color="FFFFFF" w:sz="4" w:space="0"/>
              <w:bottom w:val="nil"/>
              <w:right w:val="single" w:color="FFFFFF" w:sz="4" w:space="0"/>
            </w:tcBorders>
            <w:noWrap w:val="0"/>
            <w:vAlign w:val="center"/>
          </w:tcPr>
          <w:p>
            <w:pPr>
              <w:rPr>
                <w:rFonts w:hint="eastAsia" w:ascii="宋体" w:hAnsi="宋体" w:eastAsia="宋体" w:cs="宋体"/>
                <w:i w:val="0"/>
                <w:iCs w:val="0"/>
                <w:color w:val="000000"/>
                <w:sz w:val="18"/>
                <w:szCs w:val="1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5167" w:type="dxa"/>
            <w:gridSpan w:val="4"/>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1091" w:type="dxa"/>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总计</w:t>
            </w:r>
          </w:p>
        </w:tc>
        <w:tc>
          <w:tcPr>
            <w:tcW w:w="7302" w:type="dxa"/>
            <w:gridSpan w:val="10"/>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市级当年财政拨款安排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1232" w:type="dxa"/>
            <w:gridSpan w:val="2"/>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130" w:type="dxa"/>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2805" w:type="dxa"/>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091"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1091" w:type="dxa"/>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841" w:type="dxa"/>
            <w:gridSpan w:val="3"/>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683" w:type="dxa"/>
            <w:gridSpan w:val="3"/>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687" w:type="dxa"/>
            <w:gridSpan w:val="3"/>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jc w:val="center"/>
        </w:trPr>
        <w:tc>
          <w:tcPr>
            <w:tcW w:w="624"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08"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1130"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2805"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1091"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1091" w:type="dxa"/>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947"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947"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947"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561"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561"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561"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561"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563"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563" w:type="dxa"/>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608"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1130" w:type="dxa"/>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280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85.41</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85.41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85.41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78.26</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7.15</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113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i w:val="0"/>
                <w:iCs w:val="0"/>
                <w:color w:val="000000"/>
                <w:sz w:val="22"/>
                <w:szCs w:val="22"/>
                <w:u w:val="none"/>
              </w:rPr>
            </w:pP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2"/>
                <w:szCs w:val="22"/>
                <w:u w:val="none"/>
              </w:rPr>
            </w:pP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85.41</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85.41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85.41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sz w:val="22"/>
                <w:szCs w:val="22"/>
                <w:u w:val="none"/>
                <w:lang w:val="en-US" w:eastAsia="zh-CN"/>
              </w:rPr>
              <w:t>78.26</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7.15</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113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i w:val="0"/>
                <w:iCs w:val="0"/>
                <w:color w:val="000000"/>
                <w:sz w:val="22"/>
                <w:szCs w:val="22"/>
                <w:u w:val="none"/>
              </w:rPr>
            </w:pP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ind w:left="1100" w:hanging="1100" w:hangingChars="500"/>
              <w:jc w:val="left"/>
              <w:textAlignment w:val="center"/>
              <w:rPr>
                <w:rFonts w:hint="default" w:ascii="宋体" w:hAnsi="宋体" w:eastAsia="宋体" w:cs="宋体"/>
                <w:i w:val="0"/>
                <w:iCs w:val="0"/>
                <w:color w:val="000000"/>
                <w:sz w:val="22"/>
                <w:szCs w:val="22"/>
                <w:u w:val="none"/>
                <w:lang w:val="en-US"/>
              </w:rPr>
            </w:pPr>
            <w:r>
              <w:rPr>
                <w:rFonts w:ascii="Dialog . plain" w:hAnsi="Dialog . plain" w:eastAsia="Dialog . plain" w:cs="Dialog . plain"/>
                <w:i w:val="0"/>
                <w:iCs w:val="0"/>
                <w:color w:val="000000"/>
                <w:kern w:val="0"/>
                <w:sz w:val="22"/>
                <w:szCs w:val="22"/>
                <w:u w:val="none"/>
                <w:lang w:val="en-US" w:eastAsia="zh-CN" w:bidi="ar"/>
              </w:rPr>
              <w:t xml:space="preserve"> </w:t>
            </w:r>
            <w:r>
              <w:rPr>
                <w:rFonts w:hint="eastAsia" w:ascii="Dialog . plain" w:hAnsi="Dialog . plain" w:eastAsia="Dialog . plain" w:cs="Dialog . plain"/>
                <w:i w:val="0"/>
                <w:iCs w:val="0"/>
                <w:color w:val="000000"/>
                <w:kern w:val="0"/>
                <w:sz w:val="22"/>
                <w:szCs w:val="22"/>
                <w:u w:val="none"/>
                <w:lang w:val="en-US" w:eastAsia="zh-CN" w:bidi="ar"/>
              </w:rPr>
              <w:t>广元市非物质文化遗产保护中心</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85.41</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85.41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85.41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sz w:val="22"/>
                <w:szCs w:val="22"/>
                <w:u w:val="none"/>
                <w:lang w:val="en-US" w:eastAsia="zh-CN"/>
              </w:rPr>
              <w:t>78.26</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7.15</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113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i w:val="0"/>
                <w:iCs w:val="0"/>
                <w:color w:val="000000"/>
                <w:sz w:val="22"/>
                <w:szCs w:val="22"/>
                <w:u w:val="none"/>
              </w:rPr>
            </w:pP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工资福利支出</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69.37</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69.37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69.37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69.37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21.29</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21.29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21.29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21.29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晋级工资</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0.22</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21.07</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21.07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21.07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21.07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津贴补贴</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0.39</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0.39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0.39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0.39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其他津贴补贴（含工改、审计等）</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0.39</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奖金</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18.00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18.00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18.00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18.00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基础绩效奖</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14.80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14.80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14.80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14.80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事业人员年度考核奖</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3.20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绩效工资</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12.51</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12.51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12.51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12.51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7.8</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7.8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7.8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7.8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职工基本医疗保险缴费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2.55</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2.55</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2.55</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2.55</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其他社会保障缴费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失业保险</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工伤保险</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0.10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6.52</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6.52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6.52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6.52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商品和服务支出</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13.52</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13.52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13.52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13.52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7.15</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办公费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2.44</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2.44</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2.44</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2.14</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水费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0.10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电费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邮电费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差旅费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2.33</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2.33</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2.33</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0.83</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1.50</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维修（护）费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0.15</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0.15</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0.15</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0.15</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14</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租赁费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0.97</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0.97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0.97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0.70</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培训费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 xml:space="preserve">   0.10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 xml:space="preserve">   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both"/>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 xml:space="preserve">  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 xml:space="preserve">  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公务接待费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0.10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0.10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劳务费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0.30</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委托业务费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2.30</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0.30</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2.00</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工会经费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0.41</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0.41</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2.57</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2.57</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359305</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0.64</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0.64</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0.64</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0.64</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食堂补助经费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1.93</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1.93</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1.93</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1.93</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1.34</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1.34</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1.34</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0.99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0.36</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党建经费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0.68</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0.68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0.68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0.68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退休人员活动经费</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0.08</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0.08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0.08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0.08</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0.59</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0.59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0.59</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0.23</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0.36</w:t>
            </w: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1130" w:type="dxa"/>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i w:val="0"/>
                <w:iCs w:val="0"/>
                <w:color w:val="000000"/>
                <w:sz w:val="22"/>
                <w:szCs w:val="22"/>
                <w:u w:val="none"/>
              </w:rPr>
            </w:pP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对个人和家庭的补助</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2.52</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生活补助</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2.52</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jc w:val="center"/>
        </w:trPr>
        <w:tc>
          <w:tcPr>
            <w:tcW w:w="6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60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11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325908</w:t>
            </w:r>
          </w:p>
        </w:tc>
        <w:tc>
          <w:tcPr>
            <w:tcW w:w="280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定补退休绩效补助</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2.52</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2.52</w:t>
            </w:r>
          </w:p>
        </w:tc>
        <w:tc>
          <w:tcPr>
            <w:tcW w:w="94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1"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563"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bl>
    <w:p>
      <w:pPr>
        <w:rPr>
          <w:rFonts w:hint="eastAsia" w:ascii="仿宋_GB2312" w:hAnsi="仿宋_GB2312" w:eastAsia="仿宋_GB2312" w:cs="仿宋_GB2312"/>
          <w:sz w:val="32"/>
          <w:szCs w:val="32"/>
          <w:lang w:val="en-US" w:eastAsia="zh-CN"/>
        </w:rPr>
      </w:pPr>
    </w:p>
    <w:tbl>
      <w:tblPr>
        <w:tblStyle w:val="9"/>
        <w:tblW w:w="1332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5"/>
        <w:gridCol w:w="665"/>
        <w:gridCol w:w="669"/>
        <w:gridCol w:w="1162"/>
        <w:gridCol w:w="437"/>
        <w:gridCol w:w="437"/>
        <w:gridCol w:w="437"/>
        <w:gridCol w:w="175"/>
        <w:gridCol w:w="264"/>
        <w:gridCol w:w="437"/>
        <w:gridCol w:w="444"/>
        <w:gridCol w:w="115"/>
        <w:gridCol w:w="326"/>
        <w:gridCol w:w="237"/>
        <w:gridCol w:w="204"/>
        <w:gridCol w:w="444"/>
        <w:gridCol w:w="444"/>
        <w:gridCol w:w="119"/>
        <w:gridCol w:w="322"/>
        <w:gridCol w:w="444"/>
        <w:gridCol w:w="444"/>
        <w:gridCol w:w="212"/>
        <w:gridCol w:w="229"/>
        <w:gridCol w:w="444"/>
        <w:gridCol w:w="444"/>
        <w:gridCol w:w="212"/>
        <w:gridCol w:w="229"/>
        <w:gridCol w:w="444"/>
        <w:gridCol w:w="441"/>
        <w:gridCol w:w="444"/>
        <w:gridCol w:w="441"/>
        <w:gridCol w:w="444"/>
        <w:gridCol w:w="4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7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kern w:val="0"/>
                <w:sz w:val="24"/>
                <w:szCs w:val="24"/>
                <w:u w:val="none"/>
                <w:lang w:val="en-US" w:eastAsia="zh-CN" w:bidi="ar"/>
              </w:rPr>
            </w:pPr>
          </w:p>
          <w:p>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附表5</w:t>
            </w:r>
          </w:p>
        </w:tc>
        <w:tc>
          <w:tcPr>
            <w:tcW w:w="669"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756"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2"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2"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2"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840" w:type="dxa"/>
            <w:gridSpan w:val="2"/>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916"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p>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p>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p>
          <w:p>
            <w:pPr>
              <w:keepNext w:val="0"/>
              <w:keepLines w:val="0"/>
              <w:widowControl/>
              <w:suppressLineNumbers w:val="0"/>
              <w:jc w:val="both"/>
              <w:textAlignment w:val="center"/>
              <w:rPr>
                <w:rFonts w:ascii="宋体" w:hAnsi="宋体" w:eastAsia="宋体" w:cs="宋体"/>
                <w:i w:val="0"/>
                <w:iCs w:val="0"/>
                <w:color w:val="000000"/>
                <w:kern w:val="0"/>
                <w:sz w:val="22"/>
                <w:szCs w:val="22"/>
                <w:u w:val="none"/>
                <w:lang w:val="en-US" w:eastAsia="zh-CN" w:bidi="ar"/>
              </w:rPr>
            </w:pPr>
          </w:p>
          <w:p>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表2-1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2013" w:type="dxa"/>
            <w:gridSpan w:val="33"/>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财政拨款支出预算表（部门经济分类科目）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3695" w:type="dxa"/>
            <w:gridSpan w:val="6"/>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562"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2"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2"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563"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656" w:type="dxa"/>
            <w:gridSpan w:val="2"/>
            <w:tcBorders>
              <w:top w:val="single" w:color="FFFFFF" w:sz="4" w:space="0"/>
              <w:left w:val="single" w:color="FFFFFF" w:sz="4" w:space="0"/>
              <w:bottom w:val="nil"/>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756"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8" w:hRule="atLeast"/>
        </w:trPr>
        <w:tc>
          <w:tcPr>
            <w:tcW w:w="339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152" w:type="dxa"/>
            <w:gridSpan w:val="1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中央提前通知专项转移支付等</w:t>
            </w:r>
          </w:p>
        </w:tc>
        <w:tc>
          <w:tcPr>
            <w:tcW w:w="5772" w:type="dxa"/>
            <w:gridSpan w:val="1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33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2066"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科目名称</w:t>
            </w:r>
          </w:p>
        </w:tc>
        <w:tc>
          <w:tcPr>
            <w:tcW w:w="32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24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248"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332"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444"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332"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一般公共预算拨款</w:t>
            </w:r>
          </w:p>
        </w:tc>
        <w:tc>
          <w:tcPr>
            <w:tcW w:w="1332"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政府性基金安排</w:t>
            </w:r>
          </w:p>
        </w:tc>
        <w:tc>
          <w:tcPr>
            <w:tcW w:w="133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国有资本经营预算安排</w:t>
            </w:r>
          </w:p>
        </w:tc>
        <w:tc>
          <w:tcPr>
            <w:tcW w:w="1332"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上年应返还额度</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结转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2066"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2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3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44"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06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3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600"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06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06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06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06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lang w:eastAsia="zh-CN"/>
              </w:rPr>
            </w:pPr>
            <w:r>
              <w:rPr>
                <w:rFonts w:hint="eastAsia" w:ascii="宋体" w:hAnsi="宋体" w:eastAsia="宋体" w:cs="宋体"/>
                <w:b/>
                <w:bCs/>
                <w:i w:val="0"/>
                <w:iCs w:val="0"/>
                <w:color w:val="000000"/>
                <w:sz w:val="22"/>
                <w:szCs w:val="22"/>
                <w:u w:val="none"/>
                <w:lang w:eastAsia="zh-CN"/>
              </w:rPr>
              <w:t>本表无数据</w:t>
            </w:r>
          </w:p>
        </w:tc>
        <w:tc>
          <w:tcPr>
            <w:tcW w:w="32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2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0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3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44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bl>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356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5"/>
        <w:gridCol w:w="665"/>
        <w:gridCol w:w="665"/>
        <w:gridCol w:w="1817"/>
        <w:gridCol w:w="4431"/>
        <w:gridCol w:w="771"/>
        <w:gridCol w:w="2328"/>
        <w:gridCol w:w="221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附表6</w:t>
            </w:r>
          </w:p>
        </w:tc>
        <w:tc>
          <w:tcPr>
            <w:tcW w:w="66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p>
        </w:tc>
        <w:tc>
          <w:tcPr>
            <w:tcW w:w="1817" w:type="dxa"/>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4431" w:type="dxa"/>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5317" w:type="dxa"/>
            <w:gridSpan w:val="3"/>
            <w:tcBorders>
              <w:top w:val="single" w:color="FFFFFF" w:sz="4" w:space="0"/>
              <w:left w:val="single" w:color="FFFFFF" w:sz="4" w:space="0"/>
              <w:bottom w:val="single" w:color="FFFFFF" w:sz="4" w:space="0"/>
              <w:right w:val="single" w:color="FFFFFF" w:sz="4" w:space="0"/>
            </w:tcBorders>
            <w:shd w:val="clear" w:color="auto" w:fill="auto"/>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243"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771"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0" w:type="auto"/>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243"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77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232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当年财政拨款安排</w:t>
            </w:r>
          </w:p>
        </w:tc>
        <w:tc>
          <w:tcPr>
            <w:tcW w:w="22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上年结转安排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43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77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2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43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77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232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22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bCs/>
                <w:i w:val="0"/>
                <w:iCs w:val="0"/>
                <w:color w:val="000000"/>
                <w:kern w:val="0"/>
                <w:sz w:val="22"/>
                <w:szCs w:val="22"/>
                <w:u w:val="none"/>
                <w:lang w:val="en-US" w:eastAsia="zh-CN" w:bidi="ar"/>
              </w:rPr>
            </w:pPr>
            <w:r>
              <w:rPr>
                <w:rFonts w:hint="eastAsia" w:ascii="宋体" w:hAnsi="宋体" w:cs="宋体"/>
                <w:b/>
                <w:bCs/>
                <w:i w:val="0"/>
                <w:iCs w:val="0"/>
                <w:color w:val="000000"/>
                <w:kern w:val="0"/>
                <w:sz w:val="22"/>
                <w:szCs w:val="22"/>
                <w:u w:val="none"/>
                <w:lang w:val="en-US" w:eastAsia="zh-CN" w:bidi="ar"/>
              </w:rPr>
              <w:t>广元市文化广播电视和旅游局</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85.41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207</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01</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325908</w:t>
            </w: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宋体" w:hAnsi="宋体" w:eastAsia="宋体" w:cs="宋体"/>
                <w:b w:val="0"/>
                <w:bCs w:val="0"/>
                <w:i w:val="0"/>
                <w:iCs w:val="0"/>
                <w:color w:val="000000"/>
                <w:sz w:val="22"/>
                <w:szCs w:val="22"/>
                <w:u w:val="none"/>
                <w:lang w:val="en-US"/>
              </w:rPr>
            </w:pPr>
            <w:r>
              <w:rPr>
                <w:rFonts w:hint="eastAsia" w:ascii="宋体" w:hAnsi="宋体" w:cs="宋体"/>
                <w:b w:val="0"/>
                <w:bCs w:val="0"/>
                <w:i w:val="0"/>
                <w:iCs w:val="0"/>
                <w:color w:val="000000"/>
                <w:kern w:val="0"/>
                <w:sz w:val="22"/>
                <w:szCs w:val="22"/>
                <w:u w:val="none"/>
                <w:lang w:val="en-US" w:eastAsia="zh-CN" w:bidi="ar"/>
              </w:rPr>
              <w:t>文化创作与保护</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68.23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68.23</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208</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05</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05</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325908</w:t>
            </w: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机关事业单位基本养老保险缴费支出</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7.80</w:t>
            </w:r>
          </w:p>
        </w:tc>
        <w:tc>
          <w:tcPr>
            <w:tcW w:w="23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rPr>
            </w:pPr>
            <w:r>
              <w:rPr>
                <w:rFonts w:hint="eastAsia" w:ascii="宋体" w:hAnsi="宋体" w:cs="宋体"/>
                <w:b w:val="0"/>
                <w:bCs w:val="0"/>
                <w:i w:val="0"/>
                <w:iCs w:val="0"/>
                <w:color w:val="000000"/>
                <w:sz w:val="22"/>
                <w:szCs w:val="22"/>
                <w:u w:val="none"/>
                <w:lang w:val="en-US" w:eastAsia="zh-CN"/>
              </w:rPr>
              <w:t>7.80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208</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99</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99</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325908</w:t>
            </w: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其它社会保障和就业支出</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0.30</w:t>
            </w:r>
          </w:p>
        </w:tc>
        <w:tc>
          <w:tcPr>
            <w:tcW w:w="23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rPr>
            </w:pPr>
            <w:r>
              <w:rPr>
                <w:rFonts w:hint="eastAsia" w:ascii="宋体" w:hAnsi="宋体" w:cs="宋体"/>
                <w:b w:val="0"/>
                <w:bCs w:val="0"/>
                <w:i w:val="0"/>
                <w:iCs w:val="0"/>
                <w:color w:val="000000"/>
                <w:sz w:val="22"/>
                <w:szCs w:val="22"/>
                <w:u w:val="none"/>
                <w:lang w:val="en-US" w:eastAsia="zh-CN"/>
              </w:rPr>
              <w:t>0.30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210</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11</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02</w:t>
            </w:r>
          </w:p>
        </w:tc>
        <w:tc>
          <w:tcPr>
            <w:tcW w:w="18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rPr>
            </w:pPr>
            <w:r>
              <w:rPr>
                <w:rFonts w:hint="eastAsia" w:ascii="宋体" w:hAnsi="宋体" w:cs="宋体"/>
                <w:b w:val="0"/>
                <w:bCs w:val="0"/>
                <w:i w:val="0"/>
                <w:iCs w:val="0"/>
                <w:color w:val="000000"/>
                <w:sz w:val="22"/>
                <w:szCs w:val="22"/>
                <w:u w:val="none"/>
                <w:lang w:val="en-US" w:eastAsia="zh-CN"/>
              </w:rPr>
              <w:t>325908</w:t>
            </w: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事业单位医疗</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2.55</w:t>
            </w:r>
          </w:p>
        </w:tc>
        <w:tc>
          <w:tcPr>
            <w:tcW w:w="23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2.55</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221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住房公积金</w:t>
            </w: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6.52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6.52</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43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77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bl>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9"/>
        <w:tblW w:w="12480"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662"/>
        <w:gridCol w:w="662"/>
        <w:gridCol w:w="1766"/>
        <w:gridCol w:w="3759"/>
        <w:gridCol w:w="1877"/>
        <w:gridCol w:w="1877"/>
        <w:gridCol w:w="18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24" w:type="dxa"/>
            <w:gridSpan w:val="2"/>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黑体" w:hAnsi="黑体" w:eastAsia="黑体" w:cs="黑体"/>
                <w:b w:val="0"/>
                <w:bCs w:val="0"/>
                <w:i w:val="0"/>
                <w:iCs w:val="0"/>
                <w:color w:val="000000"/>
                <w:kern w:val="0"/>
                <w:sz w:val="24"/>
                <w:szCs w:val="24"/>
                <w:u w:val="none"/>
                <w:lang w:val="en-US" w:eastAsia="zh-CN" w:bidi="ar"/>
              </w:rPr>
              <w:t>附表7</w:t>
            </w:r>
          </w:p>
        </w:tc>
        <w:tc>
          <w:tcPr>
            <w:tcW w:w="1766"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3759" w:type="dxa"/>
            <w:tcBorders>
              <w:top w:val="single" w:color="FFFFFF" w:sz="4" w:space="0"/>
              <w:left w:val="single" w:color="FFFFFF" w:sz="4" w:space="0"/>
              <w:bottom w:val="single" w:color="FFFFFF" w:sz="4" w:space="0"/>
              <w:right w:val="single" w:color="FFFFFF" w:sz="4" w:space="0"/>
            </w:tcBorders>
            <w:noWrap w:val="0"/>
            <w:vAlign w:val="center"/>
          </w:tcPr>
          <w:p>
            <w:pP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1877" w:type="dxa"/>
            <w:tcBorders>
              <w:top w:val="single" w:color="FFFFFF" w:sz="4" w:space="0"/>
              <w:left w:val="single" w:color="FFFFFF" w:sz="4" w:space="0"/>
              <w:bottom w:val="single" w:color="FFFFFF" w:sz="4" w:space="0"/>
              <w:right w:val="single" w:color="FFFFFF" w:sz="4" w:space="0"/>
            </w:tcBorders>
            <w:noWrap w:val="0"/>
            <w:vAlign w:val="center"/>
          </w:tcPr>
          <w:p>
            <w:pPr>
              <w:keepNext w:val="0"/>
              <w:keepLines w:val="0"/>
              <w:widowControl/>
              <w:suppressLineNumbers w:val="0"/>
              <w:jc w:val="right"/>
              <w:textAlignment w:val="center"/>
              <w:rPr>
                <w:rFonts w:ascii="宋体" w:hAnsi="宋体" w:eastAsia="宋体" w:cs="宋体"/>
                <w:i w:val="0"/>
                <w:iCs w:val="0"/>
                <w:color w:val="000000"/>
                <w:sz w:val="22"/>
                <w:szCs w:val="22"/>
                <w:u w:val="none"/>
              </w:rPr>
            </w:pPr>
            <w:r>
              <w:rPr>
                <w:rFonts w:ascii="宋体" w:hAnsi="宋体" w:eastAsia="宋体" w:cs="宋体"/>
                <w:i w:val="0"/>
                <w:iCs w:val="0"/>
                <w:color w:val="000000"/>
                <w:kern w:val="0"/>
                <w:sz w:val="22"/>
                <w:szCs w:val="22"/>
                <w:u w:val="none"/>
                <w:lang w:val="en-US" w:eastAsia="zh-CN" w:bidi="ar"/>
              </w:rPr>
              <w:t>表3-1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gridSpan w:val="7"/>
            <w:tcBorders>
              <w:top w:val="single" w:color="FFFFFF" w:sz="4" w:space="0"/>
              <w:left w:val="single" w:color="FFFFFF" w:sz="4" w:space="0"/>
              <w:bottom w:val="single" w:color="FFFFFF" w:sz="4" w:space="0"/>
              <w:right w:val="single" w:color="FFFFFF"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一般公共预算基本支出预算表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trPr>
        <w:tc>
          <w:tcPr>
            <w:tcW w:w="0" w:type="auto"/>
            <w:gridSpan w:val="4"/>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nil"/>
              <w:left w:val="nil"/>
              <w:bottom w:val="nil"/>
              <w:right w:val="nil"/>
            </w:tcBorders>
            <w:noWrap/>
            <w:vAlign w:val="center"/>
          </w:tcPr>
          <w:p>
            <w:pP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noWrap/>
            <w:vAlign w:val="center"/>
          </w:tcPr>
          <w:p>
            <w:pPr>
              <w:rPr>
                <w:rFonts w:hint="eastAsia" w:ascii="宋体" w:hAnsi="宋体" w:eastAsia="宋体" w:cs="宋体"/>
                <w:i w:val="0"/>
                <w:iCs w:val="0"/>
                <w:color w:val="000000"/>
                <w:sz w:val="18"/>
                <w:szCs w:val="18"/>
                <w:u w:val="none"/>
              </w:rPr>
            </w:pPr>
          </w:p>
        </w:tc>
        <w:tc>
          <w:tcPr>
            <w:tcW w:w="0" w:type="auto"/>
            <w:tcBorders>
              <w:top w:val="single" w:color="FFFFFF" w:sz="4" w:space="0"/>
              <w:left w:val="single" w:color="FFFFFF" w:sz="4" w:space="0"/>
              <w:bottom w:val="nil"/>
              <w:right w:val="single" w:color="FFFFFF"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0" w:type="auto"/>
            <w:gridSpan w:val="3"/>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0" w:type="auto"/>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人员经费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公用经费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8" w:hRule="atLeast"/>
        </w:trPr>
        <w:tc>
          <w:tcPr>
            <w:tcW w:w="0" w:type="auto"/>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EFF2F7" w:fill="FFFFFF" w:themeFill="background1"/>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78.26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71.89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b/>
                <w:bCs/>
                <w:i w:val="0"/>
                <w:iCs w:val="0"/>
                <w:color w:val="000000"/>
                <w:sz w:val="22"/>
                <w:szCs w:val="22"/>
                <w:u w:val="none"/>
                <w:lang w:val="en-US"/>
              </w:rPr>
            </w:pPr>
            <w:r>
              <w:rPr>
                <w:rFonts w:hint="eastAsia" w:ascii="宋体" w:hAnsi="宋体" w:cs="宋体"/>
                <w:b/>
                <w:bCs/>
                <w:i w:val="0"/>
                <w:iCs w:val="0"/>
                <w:color w:val="000000"/>
                <w:kern w:val="0"/>
                <w:sz w:val="22"/>
                <w:szCs w:val="22"/>
                <w:u w:val="none"/>
                <w:lang w:val="en-US" w:eastAsia="zh-CN" w:bidi="ar"/>
              </w:rPr>
              <w:t>6.37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left"/>
              <w:rPr>
                <w:rFonts w:hint="eastAsia" w:ascii="宋体" w:hAnsi="宋体" w:eastAsia="宋体" w:cs="宋体"/>
                <w:i w:val="0"/>
                <w:iCs w:val="0"/>
                <w:color w:val="000000"/>
                <w:sz w:val="22"/>
                <w:szCs w:val="22"/>
                <w:u w:val="none"/>
              </w:rPr>
            </w:pP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jc w:val="lef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78.26</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71.89</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6.37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176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325908</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hint="eastAsia" w:ascii="Dialog . plain" w:hAnsi="Dialog . plain" w:eastAsia="Dialog . plain" w:cs="Dialog . plain"/>
                <w:i w:val="0"/>
                <w:iCs w:val="0"/>
                <w:color w:val="000000"/>
                <w:kern w:val="0"/>
                <w:sz w:val="22"/>
                <w:szCs w:val="22"/>
                <w:u w:val="none"/>
                <w:lang w:val="en-US" w:eastAsia="zh-CN" w:bidi="ar"/>
              </w:rPr>
              <w:t>广元市非物质文化遗产保护中心</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78.26</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71.89</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b/>
                <w:bCs/>
                <w:i w:val="0"/>
                <w:iCs w:val="0"/>
                <w:color w:val="000000"/>
                <w:kern w:val="0"/>
                <w:sz w:val="22"/>
                <w:szCs w:val="22"/>
                <w:u w:val="none"/>
                <w:lang w:val="en-US" w:eastAsia="zh-CN" w:bidi="ar"/>
              </w:rPr>
              <w:t>6.37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工资福利支出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69.37</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69.37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21.29</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晋级工资</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0.22</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3010102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基本工资</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21.07</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21.07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津贴补贴</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0.39</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3010206</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其他津贴补贴（含工改、审计等）</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0.39</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奖金</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18.00</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18.00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3010303</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基础绩效奖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14.80</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14.80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301030502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事业人员年度考核奖</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3.20</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3.20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30107</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绩效工资</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12.51</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12.51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30108</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机关事业单位基本养老保险缴费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7.80</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7.80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30110</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职工基本医疗保险缴费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2.55</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其他社会保障缴费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0.30</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失业保险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0.20</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3011202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工伤保险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0.10</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30113</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住房公积金</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6.52</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sz w:val="22"/>
                <w:szCs w:val="22"/>
                <w:u w:val="none"/>
                <w:lang w:val="en-US" w:eastAsia="zh-CN"/>
              </w:rPr>
              <w:t>6.52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商品和服务支出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6.37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eastAsia="zh-CN"/>
              </w:rPr>
            </w:pPr>
            <w:r>
              <w:rPr>
                <w:rFonts w:hint="eastAsia" w:ascii="宋体" w:hAnsi="宋体" w:cs="宋体"/>
                <w:i w:val="0"/>
                <w:iCs w:val="0"/>
                <w:color w:val="000000"/>
                <w:sz w:val="22"/>
                <w:szCs w:val="22"/>
                <w:u w:val="none"/>
                <w:lang w:val="en-US" w:eastAsia="zh-CN"/>
              </w:rPr>
              <w:t>6.37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办公费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30205</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水费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30206</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电费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30207</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邮电费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差旅费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0.83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0.83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w:t>
            </w:r>
            <w:r>
              <w:rPr>
                <w:rFonts w:hint="eastAsia" w:ascii="宋体" w:hAnsi="宋体" w:cs="宋体"/>
                <w:i w:val="0"/>
                <w:iCs w:val="0"/>
                <w:color w:val="000000"/>
                <w:kern w:val="0"/>
                <w:sz w:val="22"/>
                <w:szCs w:val="22"/>
                <w:u w:val="none"/>
                <w:lang w:val="en-US" w:eastAsia="zh-CN" w:bidi="ar"/>
              </w:rPr>
              <w:t>4</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sz w:val="22"/>
                <w:szCs w:val="22"/>
                <w:u w:val="none"/>
                <w:lang w:val="en-US"/>
              </w:rPr>
            </w:pPr>
            <w:r>
              <w:rPr>
                <w:rFonts w:ascii="Dialog . plain" w:hAnsi="Dialog . plain" w:eastAsia="Dialog . plain" w:cs="Dialog . plain"/>
                <w:i w:val="0"/>
                <w:iCs w:val="0"/>
                <w:color w:val="000000"/>
                <w:kern w:val="0"/>
                <w:sz w:val="22"/>
                <w:szCs w:val="22"/>
                <w:u w:val="none"/>
                <w:lang w:val="en-US" w:eastAsia="zh-CN" w:bidi="ar"/>
              </w:rPr>
              <w:t xml:space="preserve"> </w:t>
            </w:r>
            <w:r>
              <w:rPr>
                <w:rFonts w:hint="eastAsia" w:ascii="Dialog . plain" w:hAnsi="Dialog . plain" w:eastAsia="Dialog . plain" w:cs="Dialog . plain"/>
                <w:i w:val="0"/>
                <w:iCs w:val="0"/>
                <w:color w:val="000000"/>
                <w:kern w:val="0"/>
                <w:sz w:val="22"/>
                <w:szCs w:val="22"/>
                <w:u w:val="none"/>
                <w:lang w:val="en-US" w:eastAsia="zh-CN" w:bidi="ar"/>
              </w:rPr>
              <w:t>租凭费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30216</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培训费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30217</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公务接待费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0.10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26</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30226</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劳务费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30227</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委托业务费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0.30</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0.30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30228</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工会经费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cs="宋体"/>
                <w:i w:val="0"/>
                <w:iCs w:val="0"/>
                <w:color w:val="000000"/>
                <w:kern w:val="0"/>
                <w:sz w:val="22"/>
                <w:szCs w:val="22"/>
                <w:u w:val="none"/>
                <w:lang w:val="en-US" w:eastAsia="zh-CN" w:bidi="ar"/>
              </w:rPr>
            </w:pPr>
            <w:r>
              <w:rPr>
                <w:rFonts w:hint="eastAsia" w:ascii="宋体" w:hAnsi="宋体" w:cs="宋体"/>
                <w:i w:val="0"/>
                <w:iCs w:val="0"/>
                <w:color w:val="000000"/>
                <w:kern w:val="0"/>
                <w:sz w:val="22"/>
                <w:szCs w:val="22"/>
                <w:u w:val="none"/>
                <w:lang w:val="en-US" w:eastAsia="zh-CN" w:bidi="ar"/>
              </w:rPr>
              <w:t>0.41</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0.41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2.57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福利费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0.64</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0.64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3022902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食堂补助经费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1.93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1.93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0.99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3029901</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党建经费</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0.68</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0.68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3029902</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退休人员活动经费</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0.08</w:t>
            </w:r>
          </w:p>
        </w:tc>
        <w:tc>
          <w:tcPr>
            <w:tcW w:w="1877" w:type="dxa"/>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0.08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99</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3029999</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其他商品和服务支出</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0.23</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c>
          <w:tcPr>
            <w:tcW w:w="187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cs="宋体"/>
                <w:i w:val="0"/>
                <w:iCs w:val="0"/>
                <w:color w:val="000000"/>
                <w:kern w:val="0"/>
                <w:sz w:val="22"/>
                <w:szCs w:val="22"/>
                <w:u w:val="none"/>
                <w:lang w:val="en-US" w:eastAsia="zh-CN" w:bidi="ar"/>
              </w:rPr>
              <w:t>0.23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对个人和家庭的补助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生活补助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w:t>
            </w:r>
          </w:p>
        </w:tc>
        <w:tc>
          <w:tcPr>
            <w:tcW w:w="6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05</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3030503</w:t>
            </w:r>
          </w:p>
        </w:tc>
        <w:tc>
          <w:tcPr>
            <w:tcW w:w="375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ascii="Dialog . plain" w:hAnsi="Dialog . plain" w:eastAsia="Dialog . plain" w:cs="Dialog . plain"/>
                <w:i w:val="0"/>
                <w:iCs w:val="0"/>
                <w:color w:val="000000"/>
                <w:kern w:val="0"/>
                <w:sz w:val="22"/>
                <w:szCs w:val="22"/>
                <w:u w:val="none"/>
                <w:lang w:val="en-US" w:eastAsia="zh-CN" w:bidi="ar"/>
              </w:rPr>
              <w:t xml:space="preserve">   定补退休绩效补助</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sz w:val="22"/>
                <w:szCs w:val="22"/>
                <w:u w:val="none"/>
                <w:lang w:val="en-US"/>
              </w:rPr>
            </w:pPr>
            <w:r>
              <w:rPr>
                <w:rFonts w:hint="eastAsia" w:ascii="宋体" w:hAnsi="宋体" w:cs="宋体"/>
                <w:i w:val="0"/>
                <w:iCs w:val="0"/>
                <w:color w:val="000000"/>
                <w:kern w:val="0"/>
                <w:sz w:val="22"/>
                <w:szCs w:val="22"/>
                <w:u w:val="none"/>
                <w:lang w:val="en-US" w:eastAsia="zh-CN" w:bidi="ar"/>
              </w:rPr>
              <w:t>2.52</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21.17</w:t>
            </w:r>
          </w:p>
        </w:tc>
        <w:tc>
          <w:tcPr>
            <w:tcW w:w="0" w:type="auto"/>
            <w:tcBorders>
              <w:top w:val="single" w:color="000000" w:sz="4" w:space="0"/>
              <w:left w:val="single" w:color="000000" w:sz="4" w:space="0"/>
              <w:bottom w:val="single" w:color="000000" w:sz="4" w:space="0"/>
              <w:right w:val="single" w:color="000000" w:sz="4" w:space="0"/>
            </w:tcBorders>
            <w:noWrap/>
            <w:vAlign w:val="center"/>
          </w:tcPr>
          <w:p>
            <w:pPr>
              <w:jc w:val="right"/>
              <w:rPr>
                <w:rFonts w:hint="eastAsia" w:ascii="宋体" w:hAnsi="宋体" w:eastAsia="宋体" w:cs="宋体"/>
                <w:i w:val="0"/>
                <w:iCs w:val="0"/>
                <w:color w:val="000000"/>
                <w:sz w:val="22"/>
                <w:szCs w:val="22"/>
                <w:u w:val="none"/>
              </w:rPr>
            </w:pPr>
          </w:p>
        </w:tc>
      </w:tr>
    </w:tbl>
    <w:p>
      <w:pPr>
        <w:pStyle w:val="18"/>
        <w:jc w:val="center"/>
        <w:rPr>
          <w:rFonts w:hint="eastAsia"/>
          <w:lang w:val="en-US" w:eastAsia="zh-CN"/>
        </w:rPr>
      </w:pPr>
    </w:p>
    <w:p>
      <w:pPr>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br w:type="page"/>
      </w:r>
    </w:p>
    <w:tbl>
      <w:tblPr>
        <w:tblStyle w:val="9"/>
        <w:tblW w:w="13152"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5"/>
        <w:gridCol w:w="637"/>
        <w:gridCol w:w="716"/>
        <w:gridCol w:w="2876"/>
        <w:gridCol w:w="5252"/>
        <w:gridCol w:w="28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432"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附表8</w:t>
            </w:r>
          </w:p>
        </w:tc>
        <w:tc>
          <w:tcPr>
            <w:tcW w:w="716"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p>
        </w:tc>
        <w:tc>
          <w:tcPr>
            <w:tcW w:w="2876" w:type="dxa"/>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5252" w:type="dxa"/>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2876" w:type="dxa"/>
            <w:tcBorders>
              <w:top w:val="single" w:color="FFFFFF" w:sz="4" w:space="0"/>
              <w:left w:val="single" w:color="FFFFFF" w:sz="4" w:space="0"/>
              <w:bottom w:val="single" w:color="FFFFFF" w:sz="4" w:space="0"/>
              <w:right w:val="single" w:color="FFFFFF" w:sz="4" w:space="0"/>
            </w:tcBorders>
            <w:shd w:val="clear" w:color="auto" w:fill="auto"/>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6"/>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一般公共预算项目支出预算表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0" w:type="auto"/>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金额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7.15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广元市非物质文化遗产保护中心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7.15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文化创作与保护</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207</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r>
              <w:rPr>
                <w:rFonts w:hint="eastAsia" w:ascii="宋体" w:hAnsi="宋体" w:cs="宋体"/>
                <w:b w:val="0"/>
                <w:bCs w:val="0"/>
                <w:i w:val="0"/>
                <w:iCs w:val="0"/>
                <w:color w:val="000000"/>
                <w:sz w:val="22"/>
                <w:szCs w:val="22"/>
                <w:u w:val="none"/>
                <w:lang w:val="en-US" w:eastAsia="zh-CN"/>
              </w:rPr>
              <w:t>非遗项目传承保护及数据库建设经费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7.15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bl>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395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83"/>
        <w:gridCol w:w="3309"/>
        <w:gridCol w:w="1341"/>
        <w:gridCol w:w="1401"/>
        <w:gridCol w:w="1341"/>
        <w:gridCol w:w="1763"/>
        <w:gridCol w:w="1763"/>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28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附表9</w:t>
            </w:r>
          </w:p>
        </w:tc>
        <w:tc>
          <w:tcPr>
            <w:tcW w:w="3309" w:type="dxa"/>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1341"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401"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341"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763"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756" w:type="dxa"/>
            <w:tcBorders>
              <w:top w:val="single" w:color="FFFFFF" w:sz="4" w:space="0"/>
              <w:left w:val="single" w:color="FFFFFF" w:sz="4" w:space="0"/>
              <w:bottom w:val="single" w:color="FFFFFF" w:sz="4" w:space="0"/>
              <w:right w:val="single" w:color="FFFFFF" w:sz="4" w:space="0"/>
            </w:tcBorders>
            <w:shd w:val="clear" w:color="auto" w:fill="auto"/>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一般公共预算“三公”经费支出预算表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40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40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bCs/>
                <w:i w:val="0"/>
                <w:iCs w:val="0"/>
                <w:color w:val="000000"/>
                <w:sz w:val="22"/>
                <w:szCs w:val="22"/>
                <w:u w:val="none"/>
                <w:lang w:val="en-US" w:eastAsia="zh-CN"/>
              </w:rPr>
            </w:pPr>
            <w:r>
              <w:rPr>
                <w:rFonts w:hint="eastAsia" w:ascii="宋体" w:hAnsi="宋体" w:cs="宋体"/>
                <w:b/>
                <w:bCs/>
                <w:i w:val="0"/>
                <w:iCs w:val="0"/>
                <w:color w:val="000000"/>
                <w:sz w:val="22"/>
                <w:szCs w:val="22"/>
                <w:u w:val="none"/>
                <w:lang w:val="en-US" w:eastAsia="zh-CN"/>
              </w:rPr>
              <w:t>0.10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kern w:val="2"/>
                <w:sz w:val="22"/>
                <w:szCs w:val="22"/>
                <w:u w:val="none"/>
                <w:lang w:val="en-US" w:eastAsia="zh-CN" w:bidi="ar-SA"/>
              </w:rPr>
            </w:pPr>
            <w:r>
              <w:rPr>
                <w:rFonts w:hint="eastAsia" w:ascii="宋体" w:hAnsi="宋体" w:cs="宋体"/>
                <w:b/>
                <w:bCs/>
                <w:i w:val="0"/>
                <w:iCs w:val="0"/>
                <w:color w:val="000000"/>
                <w:sz w:val="22"/>
                <w:szCs w:val="22"/>
                <w:u w:val="none"/>
                <w:lang w:val="en-US" w:eastAsia="zh-CN"/>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cs="宋体"/>
                <w:b w:val="0"/>
                <w:bCs w:val="0"/>
                <w:i w:val="0"/>
                <w:iCs w:val="0"/>
                <w:color w:val="000000"/>
                <w:sz w:val="22"/>
                <w:szCs w:val="22"/>
                <w:u w:val="none"/>
                <w:lang w:val="en-US" w:eastAsia="zh-CN"/>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325908</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广元市非物质文化遗产保护中心</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val="0"/>
                <w:bCs w:val="0"/>
                <w:i w:val="0"/>
                <w:iCs w:val="0"/>
                <w:color w:val="000000"/>
                <w:sz w:val="22"/>
                <w:szCs w:val="22"/>
                <w:u w:val="none"/>
                <w:lang w:val="en-US" w:eastAsia="zh-CN"/>
              </w:rPr>
            </w:pPr>
            <w:r>
              <w:rPr>
                <w:rFonts w:hint="eastAsia" w:ascii="宋体" w:hAnsi="宋体" w:cs="宋体"/>
                <w:b w:val="0"/>
                <w:bCs w:val="0"/>
                <w:i w:val="0"/>
                <w:iCs w:val="0"/>
                <w:color w:val="000000"/>
                <w:sz w:val="22"/>
                <w:szCs w:val="22"/>
                <w:u w:val="none"/>
                <w:lang w:val="en-US" w:eastAsia="zh-CN"/>
              </w:rPr>
              <w:t>0.10</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kern w:val="2"/>
                <w:sz w:val="22"/>
                <w:szCs w:val="22"/>
                <w:u w:val="none"/>
                <w:lang w:val="en-US" w:eastAsia="zh-CN" w:bidi="ar-SA"/>
              </w:rPr>
            </w:pPr>
            <w:r>
              <w:rPr>
                <w:rFonts w:hint="eastAsia" w:ascii="宋体" w:hAnsi="宋体" w:cs="宋体"/>
                <w:b w:val="0"/>
                <w:bCs w:val="0"/>
                <w:i w:val="0"/>
                <w:iCs w:val="0"/>
                <w:color w:val="000000"/>
                <w:sz w:val="22"/>
                <w:szCs w:val="22"/>
                <w:u w:val="none"/>
                <w:lang w:val="en-US" w:eastAsia="zh-CN"/>
              </w:rPr>
              <w:t>0.10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val="0"/>
                <w:bCs w:val="0"/>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bl>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tbl>
      <w:tblPr>
        <w:tblStyle w:val="9"/>
        <w:tblW w:w="13717"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65"/>
        <w:gridCol w:w="665"/>
        <w:gridCol w:w="665"/>
        <w:gridCol w:w="1834"/>
        <w:gridCol w:w="4383"/>
        <w:gridCol w:w="1834"/>
        <w:gridCol w:w="1835"/>
        <w:gridCol w:w="183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330"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附表10</w:t>
            </w:r>
          </w:p>
        </w:tc>
        <w:tc>
          <w:tcPr>
            <w:tcW w:w="665"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p>
        </w:tc>
        <w:tc>
          <w:tcPr>
            <w:tcW w:w="1834" w:type="dxa"/>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4383" w:type="dxa"/>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1834"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35"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836" w:type="dxa"/>
            <w:tcBorders>
              <w:top w:val="single" w:color="FFFFFF" w:sz="4" w:space="0"/>
              <w:left w:val="single" w:color="FFFFFF" w:sz="4" w:space="0"/>
              <w:bottom w:val="single" w:color="FFFFFF" w:sz="4" w:space="0"/>
              <w:right w:val="single" w:color="FFFFFF" w:sz="4" w:space="0"/>
            </w:tcBorders>
            <w:shd w:val="clear" w:color="auto" w:fill="auto"/>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13717" w:type="dxa"/>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 xml:space="preserve">政府性基金预算支出预算表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212"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834"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835" w:type="dxa"/>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836" w:type="dxa"/>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21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50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本年政府性基金预算支出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995"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438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83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83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83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6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注：本表无数据</w:t>
            </w:r>
          </w:p>
        </w:tc>
        <w:tc>
          <w:tcPr>
            <w:tcW w:w="438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8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bl>
    <w:p>
      <w:pPr>
        <w:rPr>
          <w:rFonts w:hint="default" w:ascii="方正黑体简体" w:hAnsi="方正黑体简体" w:eastAsia="方正黑体简体" w:cs="方正黑体简体"/>
          <w:i w:val="0"/>
          <w:iCs w:val="0"/>
          <w:color w:val="000000"/>
          <w:kern w:val="0"/>
          <w:sz w:val="24"/>
          <w:szCs w:val="24"/>
          <w:u w:val="none"/>
          <w:lang w:val="en-US" w:eastAsia="zh-CN" w:bidi="ar"/>
        </w:rPr>
      </w:pPr>
      <w:r>
        <w:rPr>
          <w:rFonts w:hint="default" w:ascii="方正黑体简体" w:hAnsi="方正黑体简体" w:eastAsia="方正黑体简体" w:cs="方正黑体简体"/>
          <w:i w:val="0"/>
          <w:iCs w:val="0"/>
          <w:color w:val="000000"/>
          <w:kern w:val="0"/>
          <w:sz w:val="24"/>
          <w:szCs w:val="24"/>
          <w:u w:val="none"/>
          <w:lang w:val="en-US" w:eastAsia="zh-CN" w:bidi="ar"/>
        </w:rPr>
        <w:br w:type="page"/>
      </w:r>
    </w:p>
    <w:tbl>
      <w:tblPr>
        <w:tblStyle w:val="9"/>
        <w:tblW w:w="13933"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3"/>
        <w:gridCol w:w="3021"/>
        <w:gridCol w:w="1424"/>
        <w:gridCol w:w="1459"/>
        <w:gridCol w:w="1424"/>
        <w:gridCol w:w="1763"/>
        <w:gridCol w:w="1763"/>
        <w:gridCol w:w="175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323" w:type="dxa"/>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left"/>
              <w:textAlignment w:val="center"/>
              <w:rPr>
                <w:rFonts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附表11</w:t>
            </w:r>
          </w:p>
        </w:tc>
        <w:tc>
          <w:tcPr>
            <w:tcW w:w="3213" w:type="dxa"/>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566" w:type="dxa"/>
            <w:tcBorders>
              <w:top w:val="single" w:color="FFFFFF" w:sz="4" w:space="0"/>
              <w:left w:val="single" w:color="FFFFFF" w:sz="4" w:space="0"/>
              <w:bottom w:val="single" w:color="FFFFFF" w:sz="4" w:space="0"/>
              <w:right w:val="single" w:color="FFFFFF" w:sz="4" w:space="0"/>
            </w:tcBorders>
            <w:shd w:val="clear" w:color="auto" w:fill="auto"/>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gridSpan w:val="8"/>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政府性基金预算“三公”经费支出预算表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1" w:hRule="atLeast"/>
        </w:trPr>
        <w:tc>
          <w:tcPr>
            <w:tcW w:w="0" w:type="auto"/>
            <w:gridSpan w:val="2"/>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jc w:val="center"/>
              <w:rPr>
                <w:rFonts w:hint="eastAsia" w:ascii="宋体" w:hAnsi="宋体" w:eastAsia="宋体" w:cs="宋体"/>
                <w:i w:val="0"/>
                <w:iCs w:val="0"/>
                <w:color w:val="000000"/>
                <w:sz w:val="22"/>
                <w:szCs w:val="22"/>
                <w:u w:val="none"/>
              </w:rPr>
            </w:pPr>
          </w:p>
        </w:tc>
        <w:tc>
          <w:tcPr>
            <w:tcW w:w="0" w:type="auto"/>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单位编码</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0" w:type="auto"/>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当年财政拨款预算安排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56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因公出国（境）</w:t>
            </w:r>
            <w:r>
              <w:rPr>
                <w:rFonts w:hint="eastAsia" w:ascii="宋体" w:hAnsi="宋体" w:eastAsia="宋体" w:cs="宋体"/>
                <w:b/>
                <w:bCs/>
                <w:i w:val="0"/>
                <w:iCs w:val="0"/>
                <w:color w:val="000000"/>
                <w:kern w:val="0"/>
                <w:sz w:val="22"/>
                <w:szCs w:val="22"/>
                <w:u w:val="none"/>
                <w:lang w:val="en-US" w:eastAsia="zh-CN" w:bidi="ar"/>
              </w:rPr>
              <w:br w:type="textWrapping"/>
            </w:r>
            <w:r>
              <w:rPr>
                <w:rFonts w:hint="eastAsia" w:ascii="宋体" w:hAnsi="宋体" w:eastAsia="宋体" w:cs="宋体"/>
                <w:b/>
                <w:bCs/>
                <w:i w:val="0"/>
                <w:iCs w:val="0"/>
                <w:color w:val="000000"/>
                <w:kern w:val="0"/>
                <w:sz w:val="22"/>
                <w:szCs w:val="22"/>
                <w:u w:val="none"/>
                <w:lang w:val="en-US" w:eastAsia="zh-CN" w:bidi="ar"/>
              </w:rPr>
              <w:t>费用</w:t>
            </w:r>
          </w:p>
        </w:tc>
        <w:tc>
          <w:tcPr>
            <w:tcW w:w="0" w:type="auto"/>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公务用车购置及运行费</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56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公务用车购置费</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公务用车运行费</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注：本表无数据</w:t>
            </w: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bl>
    <w:p>
      <w:pPr>
        <w:rPr>
          <w:rFonts w:hint="default" w:ascii="方正黑体简体" w:hAnsi="方正黑体简体" w:eastAsia="方正黑体简体" w:cs="方正黑体简体"/>
          <w:i w:val="0"/>
          <w:iCs w:val="0"/>
          <w:color w:val="000000"/>
          <w:kern w:val="0"/>
          <w:sz w:val="24"/>
          <w:szCs w:val="24"/>
          <w:u w:val="none"/>
          <w:lang w:val="en-US" w:eastAsia="zh-CN" w:bidi="ar"/>
        </w:rPr>
      </w:pPr>
    </w:p>
    <w:tbl>
      <w:tblPr>
        <w:tblStyle w:val="9"/>
        <w:tblW w:w="1373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
        <w:gridCol w:w="716"/>
        <w:gridCol w:w="361"/>
        <w:gridCol w:w="355"/>
        <w:gridCol w:w="512"/>
        <w:gridCol w:w="204"/>
        <w:gridCol w:w="9"/>
        <w:gridCol w:w="759"/>
        <w:gridCol w:w="321"/>
        <w:gridCol w:w="786"/>
        <w:gridCol w:w="1254"/>
        <w:gridCol w:w="110"/>
        <w:gridCol w:w="970"/>
        <w:gridCol w:w="920"/>
        <w:gridCol w:w="160"/>
        <w:gridCol w:w="583"/>
        <w:gridCol w:w="364"/>
        <w:gridCol w:w="133"/>
        <w:gridCol w:w="745"/>
        <w:gridCol w:w="256"/>
        <w:gridCol w:w="406"/>
        <w:gridCol w:w="198"/>
        <w:gridCol w:w="463"/>
        <w:gridCol w:w="617"/>
        <w:gridCol w:w="423"/>
        <w:gridCol w:w="203"/>
        <w:gridCol w:w="94"/>
        <w:gridCol w:w="729"/>
        <w:gridCol w:w="351"/>
        <w:gridCol w:w="702"/>
        <w:gridCol w:w="2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500" w:hRule="atLeast"/>
        </w:trPr>
        <w:tc>
          <w:tcPr>
            <w:tcW w:w="1432" w:type="dxa"/>
            <w:gridSpan w:val="3"/>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附表12</w:t>
            </w:r>
          </w:p>
        </w:tc>
        <w:tc>
          <w:tcPr>
            <w:tcW w:w="716" w:type="dxa"/>
            <w:gridSpan w:val="2"/>
            <w:tcBorders>
              <w:top w:val="single" w:color="FFFFFF" w:sz="4" w:space="0"/>
              <w:left w:val="single" w:color="FFFFFF" w:sz="4" w:space="0"/>
              <w:bottom w:val="single" w:color="FFFFFF" w:sz="4" w:space="0"/>
              <w:right w:val="single" w:color="FFFFFF" w:sz="4" w:space="0"/>
            </w:tcBorders>
            <w:shd w:val="clear" w:color="auto" w:fill="auto"/>
            <w:noWrap/>
            <w:vAlign w:val="center"/>
          </w:tcPr>
          <w:p>
            <w:pPr>
              <w:rPr>
                <w:rFonts w:hint="default" w:ascii="方正黑体简体" w:hAnsi="方正黑体简体" w:eastAsia="方正黑体简体" w:cs="方正黑体简体"/>
                <w:i w:val="0"/>
                <w:iCs w:val="0"/>
                <w:color w:val="000000"/>
                <w:sz w:val="24"/>
                <w:szCs w:val="24"/>
                <w:u w:val="none"/>
              </w:rPr>
            </w:pPr>
          </w:p>
        </w:tc>
        <w:tc>
          <w:tcPr>
            <w:tcW w:w="1875" w:type="dxa"/>
            <w:gridSpan w:val="4"/>
            <w:tcBorders>
              <w:top w:val="nil"/>
              <w:left w:val="nil"/>
              <w:bottom w:val="nil"/>
              <w:right w:val="nil"/>
            </w:tcBorders>
            <w:shd w:val="clear" w:color="auto" w:fill="auto"/>
            <w:vAlign w:val="center"/>
          </w:tcPr>
          <w:p>
            <w:pPr>
              <w:rPr>
                <w:rFonts w:hint="eastAsia" w:ascii="黑体" w:hAnsi="黑体" w:eastAsia="黑体" w:cs="黑体"/>
                <w:i w:val="0"/>
                <w:iCs w:val="0"/>
                <w:color w:val="000000"/>
                <w:sz w:val="18"/>
                <w:szCs w:val="18"/>
                <w:u w:val="none"/>
              </w:rPr>
            </w:pPr>
          </w:p>
        </w:tc>
        <w:tc>
          <w:tcPr>
            <w:tcW w:w="3997" w:type="dxa"/>
            <w:gridSpan w:val="6"/>
            <w:tcBorders>
              <w:top w:val="nil"/>
              <w:left w:val="nil"/>
              <w:bottom w:val="nil"/>
              <w:right w:val="nil"/>
            </w:tcBorders>
            <w:shd w:val="clear" w:color="auto" w:fill="auto"/>
            <w:vAlign w:val="center"/>
          </w:tcPr>
          <w:p>
            <w:pPr>
              <w:rPr>
                <w:rFonts w:hint="default" w:ascii="黑体" w:hAnsi="黑体" w:eastAsia="黑体" w:cs="黑体"/>
                <w:i w:val="0"/>
                <w:iCs w:val="0"/>
                <w:color w:val="000000"/>
                <w:sz w:val="18"/>
                <w:szCs w:val="18"/>
                <w:u w:val="none"/>
              </w:rPr>
            </w:pPr>
          </w:p>
        </w:tc>
        <w:tc>
          <w:tcPr>
            <w:tcW w:w="1904" w:type="dxa"/>
            <w:gridSpan w:val="5"/>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904" w:type="dxa"/>
            <w:gridSpan w:val="5"/>
            <w:tcBorders>
              <w:top w:val="single" w:color="FFFFFF" w:sz="4" w:space="0"/>
              <w:left w:val="single" w:color="FFFFFF" w:sz="4" w:space="0"/>
              <w:bottom w:val="single" w:color="FFFFFF" w:sz="4" w:space="0"/>
              <w:right w:val="single" w:color="FFFFFF" w:sz="4" w:space="0"/>
            </w:tcBorders>
            <w:shd w:val="clear" w:color="auto" w:fill="auto"/>
            <w:vAlign w:val="center"/>
          </w:tcPr>
          <w:p>
            <w:pPr>
              <w:rPr>
                <w:rFonts w:hint="eastAsia" w:ascii="宋体" w:hAnsi="宋体" w:eastAsia="宋体" w:cs="宋体"/>
                <w:i w:val="0"/>
                <w:iCs w:val="0"/>
                <w:color w:val="000000"/>
                <w:sz w:val="18"/>
                <w:szCs w:val="18"/>
                <w:u w:val="none"/>
              </w:rPr>
            </w:pPr>
          </w:p>
        </w:tc>
        <w:tc>
          <w:tcPr>
            <w:tcW w:w="1904" w:type="dxa"/>
            <w:gridSpan w:val="5"/>
            <w:tcBorders>
              <w:top w:val="single" w:color="FFFFFF" w:sz="4" w:space="0"/>
              <w:left w:val="single" w:color="FFFFFF" w:sz="4" w:space="0"/>
              <w:bottom w:val="single" w:color="FFFFFF" w:sz="4" w:space="0"/>
              <w:right w:val="single" w:color="FFFFFF" w:sz="4" w:space="0"/>
            </w:tcBorders>
            <w:shd w:val="clear" w:color="auto" w:fill="auto"/>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13732" w:type="dxa"/>
            <w:gridSpan w:val="30"/>
            <w:tcBorders>
              <w:top w:val="single" w:color="FFFFFF" w:sz="4" w:space="0"/>
              <w:left w:val="single" w:color="FFFFFF" w:sz="4" w:space="0"/>
              <w:bottom w:val="single" w:color="FFFFFF" w:sz="4" w:space="0"/>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国有资本经营预算支出预算表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391" w:hRule="atLeast"/>
        </w:trPr>
        <w:tc>
          <w:tcPr>
            <w:tcW w:w="8020" w:type="dxa"/>
            <w:gridSpan w:val="1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p>
        </w:tc>
        <w:tc>
          <w:tcPr>
            <w:tcW w:w="1904" w:type="dxa"/>
            <w:gridSpan w:val="5"/>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904" w:type="dxa"/>
            <w:gridSpan w:val="5"/>
            <w:tcBorders>
              <w:top w:val="single" w:color="FFFFFF" w:sz="4" w:space="0"/>
              <w:left w:val="single" w:color="FFFFFF" w:sz="4" w:space="0"/>
              <w:bottom w:val="nil"/>
              <w:right w:val="single" w:color="FFFFFF" w:sz="4" w:space="0"/>
            </w:tcBorders>
            <w:shd w:val="clear" w:color="auto" w:fill="auto"/>
            <w:noWrap/>
            <w:vAlign w:val="center"/>
          </w:tcPr>
          <w:p>
            <w:pPr>
              <w:rPr>
                <w:rFonts w:hint="eastAsia" w:ascii="宋体" w:hAnsi="宋体" w:eastAsia="宋体" w:cs="宋体"/>
                <w:i w:val="0"/>
                <w:iCs w:val="0"/>
                <w:color w:val="000000"/>
                <w:sz w:val="18"/>
                <w:szCs w:val="18"/>
                <w:u w:val="none"/>
              </w:rPr>
            </w:pPr>
          </w:p>
        </w:tc>
        <w:tc>
          <w:tcPr>
            <w:tcW w:w="1904" w:type="dxa"/>
            <w:gridSpan w:val="5"/>
            <w:tcBorders>
              <w:top w:val="single" w:color="FFFFFF" w:sz="4" w:space="0"/>
              <w:left w:val="single" w:color="FFFFFF" w:sz="4" w:space="0"/>
              <w:bottom w:val="nil"/>
              <w:right w:val="single" w:color="FFFFFF"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88" w:hRule="atLeast"/>
        </w:trPr>
        <w:tc>
          <w:tcPr>
            <w:tcW w:w="8020" w:type="dxa"/>
            <w:gridSpan w:val="1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    目</w:t>
            </w:r>
          </w:p>
        </w:tc>
        <w:tc>
          <w:tcPr>
            <w:tcW w:w="5712" w:type="dxa"/>
            <w:gridSpan w:val="1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本年国有资本经营预算支出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88" w:hRule="atLeast"/>
        </w:trPr>
        <w:tc>
          <w:tcPr>
            <w:tcW w:w="2148"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科目编码</w:t>
            </w:r>
          </w:p>
        </w:tc>
        <w:tc>
          <w:tcPr>
            <w:tcW w:w="1875" w:type="dxa"/>
            <w:gridSpan w:val="4"/>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单位代码</w:t>
            </w:r>
          </w:p>
        </w:tc>
        <w:tc>
          <w:tcPr>
            <w:tcW w:w="3997" w:type="dxa"/>
            <w:gridSpan w:val="6"/>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单位名称（科目）</w:t>
            </w:r>
          </w:p>
        </w:tc>
        <w:tc>
          <w:tcPr>
            <w:tcW w:w="1904" w:type="dxa"/>
            <w:gridSpan w:val="5"/>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合计</w:t>
            </w:r>
          </w:p>
        </w:tc>
        <w:tc>
          <w:tcPr>
            <w:tcW w:w="1904" w:type="dxa"/>
            <w:gridSpan w:val="5"/>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基本支出</w:t>
            </w:r>
          </w:p>
        </w:tc>
        <w:tc>
          <w:tcPr>
            <w:tcW w:w="1904" w:type="dxa"/>
            <w:gridSpan w:val="5"/>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88"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类</w:t>
            </w: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款</w:t>
            </w: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项</w:t>
            </w:r>
          </w:p>
        </w:tc>
        <w:tc>
          <w:tcPr>
            <w:tcW w:w="1875"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3997" w:type="dxa"/>
            <w:gridSpan w:val="6"/>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904"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904"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904" w:type="dxa"/>
            <w:gridSpan w:val="5"/>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eastAsia="宋体" w:cs="宋体"/>
                <w:b/>
                <w:bCs/>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合    计</w:t>
            </w: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wBefore w:w="3" w:type="dxa"/>
          <w:trHeight w:val="456" w:hRule="atLeast"/>
        </w:trPr>
        <w:tc>
          <w:tcPr>
            <w:tcW w:w="7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71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p>
        </w:tc>
        <w:tc>
          <w:tcPr>
            <w:tcW w:w="1875"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注：本表无数据</w:t>
            </w:r>
          </w:p>
        </w:tc>
        <w:tc>
          <w:tcPr>
            <w:tcW w:w="3997"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Style w:val="17"/>
                <w:lang w:val="en-US" w:eastAsia="zh-CN" w:bidi="ar"/>
              </w:rPr>
              <w:t xml:space="preserve"> </w:t>
            </w: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c>
          <w:tcPr>
            <w:tcW w:w="1904"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1"/>
          <w:gridAfter w:val="1"/>
          <w:wBefore w:w="3" w:type="dxa"/>
          <w:wAfter w:w="28" w:type="dxa"/>
          <w:trHeight w:val="500" w:hRule="atLeast"/>
        </w:trPr>
        <w:tc>
          <w:tcPr>
            <w:tcW w:w="1944" w:type="dxa"/>
            <w:gridSpan w:val="4"/>
            <w:tcBorders>
              <w:top w:val="single" w:color="FFFFFF" w:sz="4" w:space="0"/>
              <w:left w:val="single" w:color="FFFFFF" w:sz="4" w:space="0"/>
              <w:bottom w:val="single" w:color="FFFFFF" w:sz="4" w:space="0"/>
              <w:right w:val="nil"/>
            </w:tcBorders>
            <w:shd w:val="clear" w:color="auto" w:fill="auto"/>
            <w:noWrap/>
            <w:vAlign w:val="center"/>
          </w:tcPr>
          <w:p>
            <w:pPr>
              <w:jc w:val="left"/>
              <w:rPr>
                <w:rFonts w:hint="eastAsia" w:ascii="宋体" w:hAnsi="宋体" w:eastAsia="宋体" w:cs="宋体"/>
                <w:i w:val="0"/>
                <w:iCs w:val="0"/>
                <w:color w:val="000000"/>
                <w:sz w:val="22"/>
                <w:szCs w:val="22"/>
                <w:u w:val="none"/>
              </w:rPr>
            </w:pPr>
            <w:r>
              <w:rPr>
                <w:rFonts w:hint="default" w:ascii="方正黑体简体" w:hAnsi="方正黑体简体" w:eastAsia="方正黑体简体" w:cs="方正黑体简体"/>
                <w:i w:val="0"/>
                <w:iCs w:val="0"/>
                <w:color w:val="000000"/>
                <w:kern w:val="0"/>
                <w:sz w:val="24"/>
                <w:szCs w:val="24"/>
                <w:u w:val="none"/>
                <w:lang w:val="en-US" w:eastAsia="zh-CN" w:bidi="ar"/>
              </w:rPr>
              <w:t>附表13</w:t>
            </w:r>
          </w:p>
        </w:tc>
        <w:tc>
          <w:tcPr>
            <w:tcW w:w="972"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107"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364"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89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107"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134"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067"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040"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026" w:type="dxa"/>
            <w:gridSpan w:val="3"/>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c>
          <w:tcPr>
            <w:tcW w:w="1053" w:type="dxa"/>
            <w:gridSpan w:val="2"/>
            <w:tcBorders>
              <w:top w:val="nil"/>
              <w:left w:val="nil"/>
              <w:bottom w:val="nil"/>
              <w:right w:val="nil"/>
            </w:tcBorders>
            <w:shd w:val="clear" w:color="auto" w:fill="auto"/>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600" w:hRule="atLeast"/>
        </w:trPr>
        <w:tc>
          <w:tcPr>
            <w:tcW w:w="13005" w:type="dxa"/>
            <w:gridSpan w:val="29"/>
            <w:tcBorders>
              <w:top w:val="single" w:color="FFFFFF" w:sz="4" w:space="0"/>
              <w:left w:val="single" w:color="FFFFFF" w:sz="4" w:space="0"/>
              <w:bottom w:val="single" w:color="FFFFFF" w:sz="4" w:space="0"/>
              <w:right w:val="single" w:color="FFFFFF" w:sz="4" w:space="0"/>
            </w:tcBorders>
            <w:shd w:val="clear" w:color="auto" w:fill="auto"/>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eastAsia" w:ascii="方正小标宋简体" w:hAnsi="方正小标宋简体" w:eastAsia="方正小标宋简体" w:cs="方正小标宋简体"/>
                <w:i w:val="0"/>
                <w:iCs w:val="0"/>
                <w:color w:val="000000"/>
                <w:kern w:val="0"/>
                <w:sz w:val="44"/>
                <w:szCs w:val="44"/>
                <w:u w:val="none"/>
                <w:lang w:val="en-US" w:eastAsia="zh-CN" w:bidi="ar"/>
              </w:rPr>
              <w:t>部门预算项目绩效目标表（2025年度）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2"/>
          <w:wAfter w:w="730" w:type="dxa"/>
          <w:trHeight w:val="520" w:hRule="atLeast"/>
        </w:trPr>
        <w:tc>
          <w:tcPr>
            <w:tcW w:w="5280" w:type="dxa"/>
            <w:gridSpan w:val="11"/>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080" w:type="dxa"/>
            <w:gridSpan w:val="2"/>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080" w:type="dxa"/>
            <w:gridSpan w:val="2"/>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1080" w:type="dxa"/>
            <w:gridSpan w:val="3"/>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745" w:type="dxa"/>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860" w:type="dxa"/>
            <w:gridSpan w:val="3"/>
            <w:tcBorders>
              <w:top w:val="single" w:color="FFFFFF" w:sz="4" w:space="0"/>
              <w:left w:val="single" w:color="FFFFFF" w:sz="4" w:space="0"/>
              <w:bottom w:val="nil"/>
              <w:right w:val="single" w:color="FFFFFF" w:sz="4" w:space="0"/>
            </w:tcBorders>
            <w:shd w:val="clear" w:color="auto" w:fill="auto"/>
            <w:vAlign w:val="center"/>
          </w:tcPr>
          <w:p>
            <w:pPr>
              <w:jc w:val="center"/>
              <w:rPr>
                <w:rFonts w:hint="eastAsia" w:ascii="宋体" w:hAnsi="宋体" w:eastAsia="宋体" w:cs="宋体"/>
                <w:i w:val="0"/>
                <w:iCs w:val="0"/>
                <w:color w:val="000000"/>
                <w:sz w:val="22"/>
                <w:szCs w:val="22"/>
                <w:u w:val="none"/>
              </w:rPr>
            </w:pPr>
          </w:p>
        </w:tc>
        <w:tc>
          <w:tcPr>
            <w:tcW w:w="2880" w:type="dxa"/>
            <w:gridSpan w:val="7"/>
            <w:tcBorders>
              <w:top w:val="single" w:color="FFFFFF" w:sz="4" w:space="0"/>
              <w:left w:val="single" w:color="FFFFFF" w:sz="4" w:space="0"/>
              <w:bottom w:val="nil"/>
              <w:right w:val="single" w:color="FFFFFF"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620" w:hRule="atLeast"/>
        </w:trPr>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单位名称</w:t>
            </w:r>
          </w:p>
        </w:tc>
        <w:tc>
          <w:tcPr>
            <w:tcW w:w="10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项目名称</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预算数</w:t>
            </w:r>
          </w:p>
        </w:tc>
        <w:tc>
          <w:tcPr>
            <w:tcW w:w="20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年度目标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一级指标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二级指标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三级指标</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性质</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指标值</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度量单位</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权重</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指标</w:t>
            </w:r>
            <w:r>
              <w:rPr>
                <w:rFonts w:hint="eastAsia" w:ascii="宋体" w:hAnsi="宋体" w:eastAsia="宋体" w:cs="宋体"/>
                <w:b/>
                <w:bCs/>
                <w:i w:val="0"/>
                <w:iCs w:val="0"/>
                <w:color w:val="000000"/>
                <w:kern w:val="0"/>
                <w:sz w:val="18"/>
                <w:szCs w:val="18"/>
                <w:u w:val="none"/>
                <w:lang w:val="en-US" w:eastAsia="zh-CN" w:bidi="ar"/>
              </w:rPr>
              <w:br w:type="textWrapping"/>
            </w:r>
            <w:r>
              <w:rPr>
                <w:rFonts w:hint="eastAsia" w:ascii="宋体" w:hAnsi="宋体" w:eastAsia="宋体" w:cs="宋体"/>
                <w:b/>
                <w:bCs/>
                <w:i w:val="0"/>
                <w:iCs w:val="0"/>
                <w:color w:val="000000"/>
                <w:kern w:val="0"/>
                <w:sz w:val="18"/>
                <w:szCs w:val="18"/>
                <w:u w:val="none"/>
                <w:lang w:val="en-US" w:eastAsia="zh-CN" w:bidi="ar"/>
              </w:rPr>
              <w:t>方向性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325908-广元市非物质文化遗产保护中心</w:t>
            </w:r>
          </w:p>
        </w:tc>
        <w:tc>
          <w:tcPr>
            <w:tcW w:w="1080" w:type="dxa"/>
            <w:gridSpan w:val="4"/>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非遗项目传承保护及数据建设经费</w:t>
            </w: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7.15 </w:t>
            </w:r>
          </w:p>
        </w:tc>
        <w:tc>
          <w:tcPr>
            <w:tcW w:w="204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织非遗部训、指导县区工作、非遗项目资料收集整理。宣传推介非遗积极作用，建立数据库，更完整、更全面的保存项目资料，方便查阅、了解、掌握项目情况。提高公众对非遗认知度和保护意识，推动非遗保护事业的持续健康发展。</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进社区和校园次数</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非遗项目资料收集整理项数</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举办非遗培次数</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展演、展示、展销场次</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次</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产出指标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时效指标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实施方案时间</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年</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展演展示和展销费用</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30000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进社区校园费用</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30000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举办非遗产培训费用</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3500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成本指标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经济成本指标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非遗项目资料收集整理费用</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反向指标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效益指标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社会效益指标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唤起社会保护优秀传统文化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意识</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定性</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优</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级</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2"/>
          <w:wAfter w:w="730" w:type="dxa"/>
          <w:trHeight w:val="720" w:hRule="atLeast"/>
        </w:trPr>
        <w:tc>
          <w:tcPr>
            <w:tcW w:w="1080"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4"/>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u w:val="none"/>
              </w:rPr>
            </w:pPr>
          </w:p>
        </w:tc>
        <w:tc>
          <w:tcPr>
            <w:tcW w:w="20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宋体" w:hAnsi="宋体" w:eastAsia="宋体" w:cs="宋体"/>
                <w:i w:val="0"/>
                <w:iCs w:val="0"/>
                <w:color w:val="000000"/>
                <w:sz w:val="18"/>
                <w:szCs w:val="18"/>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满意度指标</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服务对象满意度指标</w:t>
            </w:r>
          </w:p>
        </w:tc>
        <w:tc>
          <w:tcPr>
            <w:tcW w:w="108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观众满意度</w:t>
            </w:r>
          </w:p>
        </w:tc>
        <w:tc>
          <w:tcPr>
            <w:tcW w:w="7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86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720"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08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正向指标</w:t>
            </w:r>
          </w:p>
        </w:tc>
      </w:tr>
    </w:tbl>
    <w:p/>
    <w:p>
      <w:pPr>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sz w:val="32"/>
          <w:szCs w:val="32"/>
          <w:lang w:val="en-US" w:eastAsia="zh-CN"/>
        </w:rPr>
      </w:pPr>
    </w:p>
    <w:sectPr>
      <w:pgSz w:w="16838" w:h="11906" w:orient="landscape"/>
      <w:pgMar w:top="1587" w:right="1417" w:bottom="1474" w:left="1417" w:header="720" w:footer="1559" w:gutter="0"/>
      <w:pgBorders>
        <w:top w:val="none" w:sz="0" w:space="0"/>
        <w:left w:val="none" w:sz="0" w:space="0"/>
        <w:bottom w:val="none" w:sz="0" w:space="0"/>
        <w:right w:val="none" w:sz="0" w:space="0"/>
      </w:pgBorders>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AFF" w:usb1="C00078FB" w:usb2="0000002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Lucida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Liberation Sans">
    <w:altName w:val="Arial"/>
    <w:panose1 w:val="020B0604020202020204"/>
    <w:charset w:val="00"/>
    <w:family w:val="swiss"/>
    <w:pitch w:val="default"/>
    <w:sig w:usb0="00000000" w:usb1="00000000" w:usb2="00000000" w:usb3="00000000" w:csb0="6000009F" w:csb1="DFD70000"/>
  </w:font>
  <w:font w:name="Noto Sans CJK SC Regular">
    <w:panose1 w:val="020B0500000000000000"/>
    <w:charset w:val="86"/>
    <w:family w:val="auto"/>
    <w:pitch w:val="default"/>
    <w:sig w:usb0="30000003" w:usb1="2BDF3C10" w:usb2="00000016" w:usb3="00000000" w:csb0="602E0107"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仿宋">
    <w:altName w:val="宋体"/>
    <w:panose1 w:val="02010609060101010101"/>
    <w:charset w:val="86"/>
    <w:family w:val="auto"/>
    <w:pitch w:val="default"/>
    <w:sig w:usb0="00000000" w:usb1="00000000" w:usb2="00000016" w:usb3="00000000" w:csb0="00040001" w:csb1="00000000"/>
  </w:font>
  <w:font w:name="楷体">
    <w:altName w:val="方正楷体_GBK"/>
    <w:panose1 w:val="02010609060101010101"/>
    <w:charset w:val="86"/>
    <w:family w:val="auto"/>
    <w:pitch w:val="default"/>
    <w:sig w:usb0="00000000" w:usb1="00000000" w:usb2="00000016" w:usb3="00000000" w:csb0="00040001" w:csb1="00000000"/>
  </w:font>
  <w:font w:name="方正黑体简体">
    <w:altName w:val="方正黑体_GBK"/>
    <w:panose1 w:val="00000000000000000000"/>
    <w:charset w:val="00"/>
    <w:family w:val="auto"/>
    <w:pitch w:val="default"/>
    <w:sig w:usb0="00000000" w:usb1="00000000" w:usb2="00000000" w:usb3="00000000" w:csb0="00000000" w:csb1="00000000"/>
  </w:font>
  <w:font w:name="Hiragino Sans GB">
    <w:altName w:val="Mangal"/>
    <w:panose1 w:val="00000000000000000000"/>
    <w:charset w:val="00"/>
    <w:family w:val="auto"/>
    <w:pitch w:val="default"/>
    <w:sig w:usb0="00000000" w:usb1="00000000" w:usb2="00000000" w:usb3="00000000" w:csb0="00000000" w:csb1="00000000"/>
  </w:font>
  <w:font w:name="Dialog . plain">
    <w:altName w:val="华文中宋"/>
    <w:panose1 w:val="00000000000000000000"/>
    <w:charset w:val="00"/>
    <w:family w:val="auto"/>
    <w:pitch w:val="default"/>
    <w:sig w:usb0="00000000" w:usb1="00000000" w:usb2="00000000" w:usb3="00000000" w:csb0="00040001" w:csb1="00000000"/>
  </w:font>
  <w:font w:name="Lucida Sans">
    <w:panose1 w:val="020B0602030504020204"/>
    <w:charset w:val="00"/>
    <w:family w:val="auto"/>
    <w:pitch w:val="default"/>
    <w:sig w:usb0="00000000" w:usb1="00000000" w:usb2="00000000" w:usb3="00000000" w:csb0="00000000" w:csb1="00000000"/>
  </w:font>
  <w:font w:name="方正楷体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Mangal">
    <w:panose1 w:val="00000400000000000000"/>
    <w:charset w:val="00"/>
    <w:family w:val="auto"/>
    <w:pitch w:val="default"/>
    <w:sig w:usb0="00008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font>
  <w:font w:name="Arial">
    <w:panose1 w:val="020B0604020202020204"/>
    <w:charset w:val="00"/>
    <w:family w:val="auto"/>
    <w:pitch w:val="default"/>
    <w:sig w:usb0="00007A87" w:usb1="80000000" w:usb2="00000008"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vert="horz" wrap="none" lIns="0" tIns="0" rIns="0" bIns="0" anchor="t" anchorCtr="false" upright="fals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zql5uc8AAAAFAQAADwAAAAAAAAABACAA&#10;AAA4AAAAZHJzL2Rvd25yZXYueG1sUEsBAhQAFAAAAAgAh07iQBCr8CPHAQAAewMAAA4AAAAAAAAA&#10;AQAgAAAANAEAAGRycy9lMm9Eb2MueG1sUEsFBgAAAAAGAAYAWQEAAG0FAAAAAA==&#10;">
              <v:fill on="f" focussize="0,0"/>
              <v:stroke on="f"/>
              <v:imagedata o:title=""/>
              <o:lock v:ext="edit" aspectratio="f"/>
              <v:textbox inset="0mm,0mm,0mm,0mm" style="mso-fit-shape-to-text:t;">
                <w:txbxContent>
                  <w:p>
                    <w:pPr>
                      <w:pStyle w:val="5"/>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D243201"/>
    <w:multiLevelType w:val="singleLevel"/>
    <w:tmpl w:val="ED243201"/>
    <w:lvl w:ilvl="0" w:tentative="0">
      <w:start w:val="1"/>
      <w:numFmt w:val="chineseCounting"/>
      <w:suff w:val="nothing"/>
      <w:lvlText w:val="%1、"/>
      <w:lvlJc w:val="left"/>
      <w:rPr>
        <w:rFonts w:hint="eastAsia"/>
      </w:rPr>
    </w:lvl>
  </w:abstractNum>
  <w:abstractNum w:abstractNumId="1">
    <w:nsid w:val="EFCCA986"/>
    <w:multiLevelType w:val="singleLevel"/>
    <w:tmpl w:val="EFCCA986"/>
    <w:lvl w:ilvl="0" w:tentative="0">
      <w:start w:val="1"/>
      <w:numFmt w:val="chineseCounting"/>
      <w:suff w:val="space"/>
      <w:lvlText w:val="第%1部分"/>
      <w:lvlJc w:val="left"/>
      <w:rPr>
        <w:rFonts w:hint="eastAsia" w:ascii="方正小标宋简体" w:hAnsi="方正小标宋简体" w:eastAsia="方正小标宋简体" w:cs="方正小标宋简体"/>
        <w:sz w:val="44"/>
        <w:szCs w:val="44"/>
      </w:rPr>
    </w:lvl>
  </w:abstractNum>
  <w:abstractNum w:abstractNumId="2">
    <w:nsid w:val="FBB4C73A"/>
    <w:multiLevelType w:val="singleLevel"/>
    <w:tmpl w:val="FBB4C73A"/>
    <w:lvl w:ilvl="0" w:tentative="0">
      <w:start w:val="1"/>
      <w:numFmt w:val="chineseCounting"/>
      <w:suff w:val="nothing"/>
      <w:lvlText w:val="%1、"/>
      <w:lvlJc w:val="left"/>
      <w:rPr>
        <w:rFonts w:hint="eastAsia"/>
      </w:rPr>
    </w:lvl>
  </w:abstractNum>
  <w:abstractNum w:abstractNumId="3">
    <w:nsid w:val="3FFF1F26"/>
    <w:multiLevelType w:val="singleLevel"/>
    <w:tmpl w:val="3FFF1F26"/>
    <w:lvl w:ilvl="0" w:tentative="0">
      <w:start w:val="1"/>
      <w:numFmt w:val="chineseCounting"/>
      <w:suff w:val="nothing"/>
      <w:lvlText w:val="%1、"/>
      <w:lvlJc w:val="left"/>
      <w:pPr>
        <w:ind w:left="160" w:leftChars="0" w:firstLine="0" w:firstLineChars="0"/>
      </w:pPr>
      <w:rPr>
        <w:rFonts w:hint="eastAsia"/>
      </w:rPr>
    </w:lvl>
  </w:abstractNum>
  <w:abstractNum w:abstractNumId="4">
    <w:nsid w:val="5BFCE1D6"/>
    <w:multiLevelType w:val="singleLevel"/>
    <w:tmpl w:val="5BFCE1D6"/>
    <w:lvl w:ilvl="0" w:tentative="0">
      <w:start w:val="2"/>
      <w:numFmt w:val="chineseCounting"/>
      <w:suff w:val="nothing"/>
      <w:lvlText w:val="（%1）"/>
      <w:lvlJc w:val="left"/>
      <w:rPr>
        <w:rFonts w:hint="eastAsia"/>
      </w:rPr>
    </w:lvl>
  </w:abstractNum>
  <w:abstractNum w:abstractNumId="5">
    <w:nsid w:val="5ECE03BF"/>
    <w:multiLevelType w:val="singleLevel"/>
    <w:tmpl w:val="5ECE03BF"/>
    <w:lvl w:ilvl="0" w:tentative="0">
      <w:start w:val="1"/>
      <w:numFmt w:val="chineseCounting"/>
      <w:suff w:val="space"/>
      <w:lvlText w:val="第%1部分"/>
      <w:lvlJc w:val="left"/>
      <w:rPr>
        <w:rFonts w:hint="eastAsia"/>
      </w:rPr>
    </w:lvl>
  </w:abstractNum>
  <w:abstractNum w:abstractNumId="6">
    <w:nsid w:val="69BDA829"/>
    <w:multiLevelType w:val="singleLevel"/>
    <w:tmpl w:val="69BDA829"/>
    <w:lvl w:ilvl="0" w:tentative="0">
      <w:start w:val="2"/>
      <w:numFmt w:val="chineseCounting"/>
      <w:suff w:val="nothing"/>
      <w:lvlText w:val="（%1）"/>
      <w:lvlJc w:val="left"/>
      <w:rPr>
        <w:rFonts w:hint="eastAsia"/>
      </w:rPr>
    </w:lvl>
  </w:abstractNum>
  <w:num w:numId="1">
    <w:abstractNumId w:val="5"/>
  </w:num>
  <w:num w:numId="2">
    <w:abstractNumId w:val="2"/>
  </w:num>
  <w:num w:numId="3">
    <w:abstractNumId w:val="3"/>
  </w:num>
  <w:num w:numId="4">
    <w:abstractNumId w:val="1"/>
  </w:num>
  <w:num w:numId="5">
    <w:abstractNumId w:val="6"/>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true"/>
  <w:bordersDoNotSurroundHeader w:val="false"/>
  <w:bordersDoNotSurroundFooter w:val="fals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
  <w:drawingGridVerticalSpacing w:val="3189"/>
  <w:displayHorizontalDrawingGridEvery w:val="1"/>
  <w:displayVerticalDrawingGridEvery w:val="1"/>
  <w:doNotUseMarginsForDrawingGridOrigin w:val="true"/>
  <w:drawingGridHorizontalOrigin w:val="0"/>
  <w:drawingGridVerticalOrigin w:val="0"/>
  <w:noPunctuationKerning w:val="true"/>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c5MTc1YWUzNDk5OThmNzcwNDRiNmRkMjhiZTRiMmMifQ=="/>
  </w:docVars>
  <w:rsids>
    <w:rsidRoot w:val="00000000"/>
    <w:rsid w:val="003474D9"/>
    <w:rsid w:val="012352D1"/>
    <w:rsid w:val="045330F4"/>
    <w:rsid w:val="04A740C0"/>
    <w:rsid w:val="06F1144F"/>
    <w:rsid w:val="078D1C71"/>
    <w:rsid w:val="0AA105EC"/>
    <w:rsid w:val="0B7A42BB"/>
    <w:rsid w:val="0BFB189F"/>
    <w:rsid w:val="0CF84031"/>
    <w:rsid w:val="0DDA54E4"/>
    <w:rsid w:val="0F9D4A1B"/>
    <w:rsid w:val="107B4D5D"/>
    <w:rsid w:val="124412F9"/>
    <w:rsid w:val="1A570596"/>
    <w:rsid w:val="1CBB2985"/>
    <w:rsid w:val="1CF87735"/>
    <w:rsid w:val="1D4D7A81"/>
    <w:rsid w:val="1D862F93"/>
    <w:rsid w:val="1D9F113A"/>
    <w:rsid w:val="1E1E31CB"/>
    <w:rsid w:val="1F7BF06F"/>
    <w:rsid w:val="1FEE4B73"/>
    <w:rsid w:val="21352D06"/>
    <w:rsid w:val="220F11AF"/>
    <w:rsid w:val="226D64CF"/>
    <w:rsid w:val="228F1F97"/>
    <w:rsid w:val="23CE9849"/>
    <w:rsid w:val="23E66539"/>
    <w:rsid w:val="252C08C4"/>
    <w:rsid w:val="25AB17E9"/>
    <w:rsid w:val="27F154AD"/>
    <w:rsid w:val="286C6D33"/>
    <w:rsid w:val="28E374EB"/>
    <w:rsid w:val="29323FCF"/>
    <w:rsid w:val="29385A89"/>
    <w:rsid w:val="2B1716CE"/>
    <w:rsid w:val="2B4F0E68"/>
    <w:rsid w:val="2E424CB4"/>
    <w:rsid w:val="2FF73CF5"/>
    <w:rsid w:val="30A532D8"/>
    <w:rsid w:val="32B12408"/>
    <w:rsid w:val="33E243C1"/>
    <w:rsid w:val="3482113B"/>
    <w:rsid w:val="35402F55"/>
    <w:rsid w:val="372799D5"/>
    <w:rsid w:val="383578FB"/>
    <w:rsid w:val="38B23CA4"/>
    <w:rsid w:val="39C24EFB"/>
    <w:rsid w:val="39F304DD"/>
    <w:rsid w:val="3A6A71E2"/>
    <w:rsid w:val="3B8B1A48"/>
    <w:rsid w:val="3DCF187A"/>
    <w:rsid w:val="3F087854"/>
    <w:rsid w:val="3F285DA8"/>
    <w:rsid w:val="3FA7F2C3"/>
    <w:rsid w:val="3FFEA2A5"/>
    <w:rsid w:val="437B6C40"/>
    <w:rsid w:val="46CFEED0"/>
    <w:rsid w:val="46DF2C2F"/>
    <w:rsid w:val="47A53E92"/>
    <w:rsid w:val="47BB36B5"/>
    <w:rsid w:val="4836661D"/>
    <w:rsid w:val="49F27137"/>
    <w:rsid w:val="4B4C0AC8"/>
    <w:rsid w:val="4C673035"/>
    <w:rsid w:val="4DD94895"/>
    <w:rsid w:val="4F1F09CE"/>
    <w:rsid w:val="532140A4"/>
    <w:rsid w:val="54244390"/>
    <w:rsid w:val="54662A63"/>
    <w:rsid w:val="54BD7E51"/>
    <w:rsid w:val="55EB6693"/>
    <w:rsid w:val="58064E12"/>
    <w:rsid w:val="5B0176A7"/>
    <w:rsid w:val="5BE30FD5"/>
    <w:rsid w:val="5BFEE015"/>
    <w:rsid w:val="5C553C81"/>
    <w:rsid w:val="5DCB1D21"/>
    <w:rsid w:val="5DFD075F"/>
    <w:rsid w:val="5F3C4C84"/>
    <w:rsid w:val="5F41673E"/>
    <w:rsid w:val="5FF679D4"/>
    <w:rsid w:val="60486545"/>
    <w:rsid w:val="62D578C9"/>
    <w:rsid w:val="63E07D2C"/>
    <w:rsid w:val="63EDCF55"/>
    <w:rsid w:val="63FBFBCF"/>
    <w:rsid w:val="6535464F"/>
    <w:rsid w:val="669360FD"/>
    <w:rsid w:val="68BC31C5"/>
    <w:rsid w:val="68FF6A83"/>
    <w:rsid w:val="696F5E8A"/>
    <w:rsid w:val="69C02956"/>
    <w:rsid w:val="6A75729C"/>
    <w:rsid w:val="6AEF6005"/>
    <w:rsid w:val="6B5E5F82"/>
    <w:rsid w:val="6C8C6B1F"/>
    <w:rsid w:val="6CF05300"/>
    <w:rsid w:val="6D7D3037"/>
    <w:rsid w:val="6DA1102B"/>
    <w:rsid w:val="6E3DB48E"/>
    <w:rsid w:val="6E4C47B8"/>
    <w:rsid w:val="6E9323E7"/>
    <w:rsid w:val="6EF94940"/>
    <w:rsid w:val="6FBBC9CF"/>
    <w:rsid w:val="705F4C76"/>
    <w:rsid w:val="722F0678"/>
    <w:rsid w:val="72BDE561"/>
    <w:rsid w:val="72C52F8E"/>
    <w:rsid w:val="72DF1460"/>
    <w:rsid w:val="78462278"/>
    <w:rsid w:val="7997EA6C"/>
    <w:rsid w:val="79F213C1"/>
    <w:rsid w:val="7AEAE675"/>
    <w:rsid w:val="7BAFCE5D"/>
    <w:rsid w:val="7D4460EE"/>
    <w:rsid w:val="7D46598C"/>
    <w:rsid w:val="7D8F646F"/>
    <w:rsid w:val="7D9F8F0F"/>
    <w:rsid w:val="7DA63EE4"/>
    <w:rsid w:val="7DEF30D5"/>
    <w:rsid w:val="7DFB240B"/>
    <w:rsid w:val="7DFE05E7"/>
    <w:rsid w:val="7E0935ED"/>
    <w:rsid w:val="7E462FD2"/>
    <w:rsid w:val="7ED7A56A"/>
    <w:rsid w:val="7FBB179D"/>
    <w:rsid w:val="7FCF2AF7"/>
    <w:rsid w:val="7FE3653B"/>
    <w:rsid w:val="9FEF033D"/>
    <w:rsid w:val="A27FF1E5"/>
    <w:rsid w:val="A9CFD93D"/>
    <w:rsid w:val="ABFEA5DB"/>
    <w:rsid w:val="AF3FEDDD"/>
    <w:rsid w:val="AFDEB5A7"/>
    <w:rsid w:val="AFEA7FBF"/>
    <w:rsid w:val="B83F4767"/>
    <w:rsid w:val="BF638191"/>
    <w:rsid w:val="BF930F07"/>
    <w:rsid w:val="BFCE8436"/>
    <w:rsid w:val="C3F7EB7A"/>
    <w:rsid w:val="CFBD8222"/>
    <w:rsid w:val="CFF5FEEC"/>
    <w:rsid w:val="D3DD9064"/>
    <w:rsid w:val="D6F76A0C"/>
    <w:rsid w:val="D7ECE8D2"/>
    <w:rsid w:val="DD2BC8C0"/>
    <w:rsid w:val="DFDD4FB5"/>
    <w:rsid w:val="E3FC5BBD"/>
    <w:rsid w:val="E7F748B5"/>
    <w:rsid w:val="EE5F3713"/>
    <w:rsid w:val="EFC9D62C"/>
    <w:rsid w:val="EFDEA243"/>
    <w:rsid w:val="F61F91D3"/>
    <w:rsid w:val="F6BE9755"/>
    <w:rsid w:val="F6FFA89B"/>
    <w:rsid w:val="F7FFA4EB"/>
    <w:rsid w:val="F88D0DC7"/>
    <w:rsid w:val="FAE4EFE1"/>
    <w:rsid w:val="FB9B6F12"/>
    <w:rsid w:val="FBB66A4A"/>
    <w:rsid w:val="FBF7C4DC"/>
    <w:rsid w:val="FDEE6989"/>
    <w:rsid w:val="FE3FE3D1"/>
    <w:rsid w:val="FEFF0922"/>
    <w:rsid w:val="FF5E7DB8"/>
    <w:rsid w:val="FF77E367"/>
    <w:rsid w:val="FFD576EB"/>
    <w:rsid w:val="FFDB1578"/>
    <w:rsid w:val="FFFADE43"/>
    <w:rsid w:val="FFFBE8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character" w:default="1" w:styleId="10">
    <w:name w:val="Default Paragraph Font"/>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toc 1"/>
    <w:basedOn w:val="1"/>
    <w:next w:val="1"/>
    <w:qFormat/>
    <w:uiPriority w:val="99"/>
    <w:pPr>
      <w:widowControl/>
      <w:tabs>
        <w:tab w:val="right" w:leader="dot" w:pos="8890"/>
      </w:tabs>
      <w:adjustRightInd w:val="0"/>
      <w:snapToGrid w:val="0"/>
      <w:spacing w:before="100" w:after="100"/>
      <w:jc w:val="left"/>
    </w:pPr>
    <w:rPr>
      <w:rFonts w:ascii="仿宋_GB2312" w:hAnsi="黑体" w:eastAsia="仿宋_GB2312"/>
      <w:b/>
      <w:kern w:val="0"/>
      <w:sz w:val="32"/>
      <w:szCs w:val="32"/>
    </w:rPr>
  </w:style>
  <w:style w:type="paragraph" w:styleId="3">
    <w:name w:val="caption"/>
    <w:basedOn w:val="1"/>
    <w:next w:val="1"/>
    <w:qFormat/>
    <w:uiPriority w:val="0"/>
    <w:pPr>
      <w:widowControl w:val="0"/>
      <w:suppressLineNumbers/>
      <w:suppressAutoHyphens/>
      <w:spacing w:before="120" w:after="120"/>
    </w:pPr>
    <w:rPr>
      <w:i/>
      <w:iCs/>
      <w:sz w:val="24"/>
      <w:szCs w:val="24"/>
    </w:rPr>
  </w:style>
  <w:style w:type="paragraph" w:styleId="4">
    <w:name w:val="Body Text"/>
    <w:basedOn w:val="1"/>
    <w:qFormat/>
    <w:uiPriority w:val="0"/>
    <w:pPr>
      <w:spacing w:before="0" w:after="140" w:line="276" w:lineRule="auto"/>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List"/>
    <w:basedOn w:val="4"/>
    <w:qFormat/>
    <w:uiPriority w:val="0"/>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customStyle="1" w:styleId="11">
    <w:name w:val="默认段落字体1"/>
    <w:qFormat/>
    <w:uiPriority w:val="0"/>
  </w:style>
  <w:style w:type="paragraph" w:customStyle="1" w:styleId="12">
    <w:name w:val="Heading"/>
    <w:basedOn w:val="1"/>
    <w:next w:val="4"/>
    <w:qFormat/>
    <w:uiPriority w:val="0"/>
    <w:pPr>
      <w:keepNext/>
      <w:widowControl w:val="0"/>
      <w:suppressAutoHyphens/>
      <w:spacing w:before="240" w:after="120"/>
    </w:pPr>
    <w:rPr>
      <w:rFonts w:ascii="Liberation Sans" w:hAnsi="Liberation Sans" w:eastAsia="Noto Sans CJK SC Regular" w:cs="Noto Sans CJK SC Regular"/>
      <w:sz w:val="28"/>
      <w:szCs w:val="28"/>
      <w:lang w:bidi="ar-SA"/>
    </w:rPr>
  </w:style>
  <w:style w:type="paragraph" w:customStyle="1" w:styleId="13">
    <w:name w:val="Index"/>
    <w:basedOn w:val="1"/>
    <w:qFormat/>
    <w:uiPriority w:val="0"/>
    <w:pPr>
      <w:widowControl w:val="0"/>
      <w:suppressLineNumbers/>
      <w:suppressAutoHyphens/>
    </w:pPr>
  </w:style>
  <w:style w:type="character" w:customStyle="1" w:styleId="14">
    <w:name w:val="font61"/>
    <w:basedOn w:val="10"/>
    <w:qFormat/>
    <w:uiPriority w:val="0"/>
    <w:rPr>
      <w:rFonts w:hint="eastAsia" w:ascii="宋体" w:hAnsi="宋体" w:eastAsia="宋体" w:cs="宋体"/>
      <w:color w:val="000000"/>
      <w:sz w:val="22"/>
      <w:szCs w:val="22"/>
      <w:u w:val="none"/>
    </w:rPr>
  </w:style>
  <w:style w:type="character" w:customStyle="1" w:styleId="15">
    <w:name w:val="font51"/>
    <w:basedOn w:val="10"/>
    <w:qFormat/>
    <w:uiPriority w:val="0"/>
    <w:rPr>
      <w:rFonts w:hint="eastAsia" w:ascii="宋体" w:hAnsi="宋体" w:eastAsia="宋体" w:cs="宋体"/>
      <w:color w:val="000000"/>
      <w:sz w:val="22"/>
      <w:szCs w:val="22"/>
      <w:u w:val="none"/>
    </w:rPr>
  </w:style>
  <w:style w:type="character" w:customStyle="1" w:styleId="16">
    <w:name w:val="font21"/>
    <w:basedOn w:val="10"/>
    <w:qFormat/>
    <w:uiPriority w:val="0"/>
    <w:rPr>
      <w:rFonts w:hint="eastAsia" w:ascii="宋体" w:hAnsi="宋体" w:eastAsia="宋体" w:cs="宋体"/>
      <w:color w:val="000000"/>
      <w:sz w:val="22"/>
      <w:szCs w:val="22"/>
      <w:u w:val="none"/>
    </w:rPr>
  </w:style>
  <w:style w:type="character" w:customStyle="1" w:styleId="17">
    <w:name w:val="font41"/>
    <w:basedOn w:val="10"/>
    <w:qFormat/>
    <w:uiPriority w:val="0"/>
    <w:rPr>
      <w:rFonts w:hint="eastAsia" w:ascii="宋体" w:hAnsi="宋体" w:eastAsia="宋体" w:cs="宋体"/>
      <w:color w:val="000000"/>
      <w:sz w:val="22"/>
      <w:szCs w:val="22"/>
      <w:u w:val="none"/>
    </w:rPr>
  </w:style>
  <w:style w:type="paragraph" w:customStyle="1" w:styleId="18">
    <w:name w:val="样式1"/>
    <w:basedOn w:val="1"/>
    <w:qFormat/>
    <w:uiPriority w:val="0"/>
    <w:rPr>
      <w:b/>
      <w:color w:val="538135"/>
      <w:sz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38</Pages>
  <Words>2058</Words>
  <Characters>2255</Characters>
  <TotalTime>7</TotalTime>
  <ScaleCrop>false</ScaleCrop>
  <LinksUpToDate>false</LinksUpToDate>
  <CharactersWithSpaces>2284</CharactersWithSpaces>
  <Application>WPS Office_11.8.2.9980_F1E327BC-269C-435d-A152-05C5408002CA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2018-12-03T09:47:00Z</dcterms:created>
  <dc:creator>admin</dc:creator>
  <cp:lastModifiedBy>user</cp:lastModifiedBy>
  <dcterms:modified xsi:type="dcterms:W3CDTF">2025-02-28T08:38:05Z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y fmtid="{D5CDD505-2E9C-101B-9397-08002B2CF9AE}" pid="3" name="ICV">
    <vt:lpwstr>96081F72B7444D3C8C1C7DDAED24732C_13</vt:lpwstr>
  </property>
  <property fmtid="{D5CDD505-2E9C-101B-9397-08002B2CF9AE}" pid="4" name="KSOTemplateDocerSaveRecord">
    <vt:lpwstr>eyJoZGlkIjoiZmQzMTU5NmIzMTdiYjAyM2ZjZDg3NzBhMmYyNDA5MDUiLCJ1c2VySWQiOiIxMjk3ODc3NDUxIn0=</vt:lpwstr>
  </property>
</Properties>
</file>