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word/settings.xml" ContentType="application/vnd.openxmlformats-officedocument.wordprocessingml.setting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customXml/itemProps1.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body>
    <w:p>
      <w:pPr>
        <w:keepNext w:val="0"/>
        <w:keepLines w:val="0"/>
        <w:pageBreakBefore w:val="0"/>
        <w:widowControl/>
        <w:suppressLineNumbers w:val="0"/>
        <w:pBdr>
          <w:top w:val="none" w:sz="0" w:space="0" w:color="auto"/>
          <w:left w:val="none" w:sz="0" w:space="0" w:color="auto"/>
          <w:bottom w:val="none" w:sz="0" w:space="0" w:color="auto"/>
          <w:right w:val="none" w:sz="0" w:space="0" w:color="auto"/>
        </w:pBdr>
        <w:shd w:val="clear" w:color="auto" w:fill="FFFFFF"/>
        <w:suppressAutoHyphens/>
        <w:kinsoku/>
        <w:wordWrap/>
        <w:overflowPunct/>
        <w:topLinePunct w:val="0"/>
        <w:autoSpaceDE/>
        <w:autoSpaceDN/>
        <w:bidi w:val="0"/>
        <w:adjustRightInd/>
        <w:snapToGrid/>
        <w:spacing w:before="0" w:beforeAutospacing="0" w:after="0" w:afterAutospacing="0" w:line="580" w:lineRule="atLeast"/>
        <w:ind w:left="0" w:right="0" w:firstLine="0"/>
        <w:jc w:val="both"/>
        <w:textAlignment w:val="center"/>
        <w:rPr>
          <w:rFonts w:ascii="方正小标宋简体" w:eastAsia="方正小标宋简体" w:cs="方正小标宋简体" w:hAnsi="方正小标宋简体" w:hint="eastAsia"/>
          <w:b w:val="0"/>
          <w:bCs w:val="0"/>
          <w:i w:val="0"/>
          <w:caps w:val="0"/>
          <w:smallCaps w:val="0"/>
          <w:color w:val="000000"/>
          <w:spacing w:val="0"/>
          <w:kern w:val="0"/>
          <w:sz w:val="44"/>
          <w:szCs w:val="44"/>
          <w:shd w:val="clear" w:color="auto" w:fill="FFFFFF"/>
          <w:lang w:val="en-US" w:eastAsia="zh-CN"/>
          <w:highlight w:val="auto"/>
        </w:rPr>
      </w:pPr>
    </w:p>
    <w:p>
      <w:pPr>
        <w:keepNext w:val="0"/>
        <w:keepLines w:val="0"/>
        <w:pageBreakBefore w:val="0"/>
        <w:widowControl/>
        <w:suppressLineNumbers w:val="0"/>
        <w:pBdr>
          <w:top w:val="none" w:sz="0" w:space="0" w:color="auto"/>
          <w:left w:val="none" w:sz="0" w:space="0" w:color="auto"/>
          <w:bottom w:val="none" w:sz="0" w:space="0" w:color="auto"/>
          <w:right w:val="none" w:sz="0" w:space="0" w:color="auto"/>
        </w:pBdr>
        <w:shd w:val="clear" w:color="auto" w:fill="FFFFFF"/>
        <w:suppressAutoHyphens/>
        <w:kinsoku/>
        <w:wordWrap/>
        <w:overflowPunct/>
        <w:topLinePunct w:val="0"/>
        <w:autoSpaceDE/>
        <w:autoSpaceDN/>
        <w:bidi w:val="0"/>
        <w:adjustRightInd/>
        <w:snapToGrid/>
        <w:spacing w:before="0" w:beforeAutospacing="0" w:after="0" w:afterAutospacing="0" w:line="580" w:lineRule="atLeast"/>
        <w:ind w:left="0" w:right="0" w:firstLine="0"/>
        <w:jc w:val="both"/>
        <w:textAlignment w:val="center"/>
        <w:rPr>
          <w:rFonts w:ascii="方正小标宋简体" w:eastAsia="方正小标宋简体" w:cs="方正小标宋简体" w:hAnsi="方正小标宋简体" w:hint="eastAsia"/>
          <w:b w:val="0"/>
          <w:bCs w:val="0"/>
          <w:i w:val="0"/>
          <w:caps w:val="0"/>
          <w:smallCaps w:val="0"/>
          <w:color w:val="000000"/>
          <w:spacing w:val="0"/>
          <w:kern w:val="0"/>
          <w:sz w:val="44"/>
          <w:szCs w:val="44"/>
          <w:shd w:val="clear" w:color="auto" w:fill="FFFFFF"/>
          <w:lang w:val="en-US" w:eastAsia="zh-CN"/>
          <w:highlight w:val="auto"/>
        </w:rPr>
      </w:pPr>
    </w:p>
    <w:p>
      <w:pPr>
        <w:keepNext w:val="0"/>
        <w:keepLines w:val="0"/>
        <w:pageBreakBefore w:val="0"/>
        <w:widowControl/>
        <w:suppressLineNumbers w:val="0"/>
        <w:pBdr>
          <w:top w:val="none" w:sz="0" w:space="0" w:color="auto"/>
          <w:left w:val="none" w:sz="0" w:space="0" w:color="auto"/>
          <w:bottom w:val="none" w:sz="0" w:space="0" w:color="auto"/>
          <w:right w:val="none" w:sz="0" w:space="0" w:color="auto"/>
        </w:pBdr>
        <w:shd w:val="clear" w:color="auto" w:fill="FFFFFF"/>
        <w:suppressAutoHyphens/>
        <w:kinsoku/>
        <w:wordWrap/>
        <w:overflowPunct/>
        <w:topLinePunct w:val="0"/>
        <w:autoSpaceDE/>
        <w:autoSpaceDN/>
        <w:bidi w:val="0"/>
        <w:adjustRightInd/>
        <w:snapToGrid/>
        <w:spacing w:before="0" w:beforeAutospacing="0" w:after="0" w:afterAutospacing="0" w:line="580" w:lineRule="atLeast"/>
        <w:ind w:left="0" w:right="0" w:firstLine="0"/>
        <w:jc w:val="both"/>
        <w:textAlignment w:val="center"/>
        <w:rPr>
          <w:rFonts w:ascii="方正小标宋简体" w:eastAsia="方正小标宋简体" w:cs="方正小标宋简体" w:hAnsi="方正小标宋简体" w:hint="eastAsia"/>
          <w:b w:val="0"/>
          <w:bCs w:val="0"/>
          <w:i w:val="0"/>
          <w:caps w:val="0"/>
          <w:smallCaps w:val="0"/>
          <w:color w:val="000000"/>
          <w:spacing w:val="0"/>
          <w:kern w:val="0"/>
          <w:sz w:val="44"/>
          <w:szCs w:val="44"/>
          <w:shd w:val="clear" w:color="auto" w:fill="FFFFFF"/>
          <w:lang w:val="en-US" w:eastAsia="zh-CN"/>
          <w:highlight w:val="auto"/>
        </w:rPr>
      </w:pPr>
    </w:p>
    <w:p>
      <w:pPr>
        <w:keepNext w:val="0"/>
        <w:keepLines w:val="0"/>
        <w:pageBreakBefore w:val="0"/>
        <w:widowControl/>
        <w:suppressLineNumbers w:val="0"/>
        <w:pBdr>
          <w:top w:val="none" w:sz="0" w:space="0" w:color="auto"/>
          <w:left w:val="none" w:sz="0" w:space="0" w:color="auto"/>
          <w:bottom w:val="none" w:sz="0" w:space="0" w:color="auto"/>
          <w:right w:val="none" w:sz="0" w:space="0" w:color="auto"/>
        </w:pBdr>
        <w:shd w:val="clear" w:color="auto" w:fill="FFFFFF"/>
        <w:suppressAutoHyphens/>
        <w:kinsoku/>
        <w:wordWrap/>
        <w:overflowPunct/>
        <w:topLinePunct w:val="0"/>
        <w:autoSpaceDE/>
        <w:autoSpaceDN/>
        <w:bidi w:val="0"/>
        <w:adjustRightInd/>
        <w:snapToGrid/>
        <w:spacing w:before="0" w:beforeAutospacing="0" w:after="0" w:afterAutospacing="0" w:line="580" w:lineRule="atLeast"/>
        <w:ind w:left="0" w:right="0" w:firstLine="0"/>
        <w:jc w:val="both"/>
        <w:textAlignment w:val="center"/>
        <w:rPr>
          <w:rFonts w:ascii="方正小标宋简体" w:eastAsia="方正小标宋简体" w:cs="方正小标宋简体" w:hAnsi="方正小标宋简体" w:hint="eastAsia"/>
          <w:b w:val="0"/>
          <w:bCs w:val="0"/>
          <w:i w:val="0"/>
          <w:caps w:val="0"/>
          <w:smallCaps w:val="0"/>
          <w:color w:val="000000"/>
          <w:spacing w:val="0"/>
          <w:kern w:val="0"/>
          <w:sz w:val="44"/>
          <w:szCs w:val="44"/>
          <w:shd w:val="clear" w:color="auto" w:fill="FFFFFF"/>
          <w:lang w:val="en-US" w:eastAsia="zh-CN"/>
          <w:highlight w:val="auto"/>
        </w:rPr>
      </w:pPr>
    </w:p>
    <w:p>
      <w:pPr>
        <w:keepNext w:val="0"/>
        <w:keepLines w:val="0"/>
        <w:pageBreakBefore w:val="0"/>
        <w:widowControl/>
        <w:suppressLineNumbers w:val="0"/>
        <w:pBdr>
          <w:top w:val="none" w:sz="0" w:space="0" w:color="auto"/>
          <w:left w:val="none" w:sz="0" w:space="0" w:color="auto"/>
          <w:bottom w:val="none" w:sz="0" w:space="0" w:color="auto"/>
          <w:right w:val="none" w:sz="0" w:space="0" w:color="auto"/>
        </w:pBdr>
        <w:shd w:val="clear" w:color="auto" w:fill="FFFFFF"/>
        <w:suppressAutoHyphens/>
        <w:kinsoku/>
        <w:wordWrap/>
        <w:overflowPunct/>
        <w:topLinePunct w:val="0"/>
        <w:autoSpaceDE/>
        <w:autoSpaceDN/>
        <w:bidi w:val="0"/>
        <w:adjustRightInd/>
        <w:snapToGrid/>
        <w:spacing w:before="0" w:beforeAutospacing="0" w:after="0" w:afterAutospacing="0" w:line="580" w:lineRule="atLeast"/>
        <w:ind w:left="0" w:right="0" w:firstLine="0"/>
        <w:jc w:val="both"/>
        <w:textAlignment w:val="center"/>
        <w:rPr>
          <w:rFonts w:ascii="方正小标宋简体" w:eastAsia="方正小标宋简体" w:cs="方正小标宋简体" w:hAnsi="方正小标宋简体" w:hint="eastAsia"/>
          <w:b w:val="0"/>
          <w:bCs w:val="0"/>
          <w:i w:val="0"/>
          <w:caps w:val="0"/>
          <w:smallCaps w:val="0"/>
          <w:color w:val="000000"/>
          <w:spacing w:val="0"/>
          <w:kern w:val="0"/>
          <w:sz w:val="44"/>
          <w:szCs w:val="44"/>
          <w:shd w:val="clear" w:color="auto" w:fill="FFFFFF"/>
          <w:lang w:val="en-US" w:eastAsia="zh-CN"/>
          <w:highlight w:val="auto"/>
        </w:rPr>
      </w:pPr>
    </w:p>
    <w:p>
      <w:pPr>
        <w:keepNext w:val="0"/>
        <w:keepLines w:val="0"/>
        <w:pageBreakBefore w:val="0"/>
        <w:widowControl/>
        <w:suppressLineNumbers w:val="0"/>
        <w:pBdr>
          <w:top w:val="none" w:sz="0" w:space="0" w:color="auto"/>
          <w:left w:val="none" w:sz="0" w:space="0" w:color="auto"/>
          <w:bottom w:val="none" w:sz="0" w:space="0" w:color="auto"/>
          <w:right w:val="none" w:sz="0" w:space="0" w:color="auto"/>
        </w:pBdr>
        <w:shd w:val="clear" w:color="auto" w:fill="FFFFFF"/>
        <w:suppressAutoHyphens/>
        <w:kinsoku/>
        <w:wordWrap/>
        <w:overflowPunct/>
        <w:topLinePunct w:val="0"/>
        <w:autoSpaceDE/>
        <w:autoSpaceDN/>
        <w:bidi w:val="0"/>
        <w:adjustRightInd/>
        <w:snapToGrid/>
        <w:spacing w:before="0" w:beforeAutospacing="0" w:after="0" w:afterAutospacing="0" w:line="580" w:lineRule="atLeast"/>
        <w:ind w:left="0" w:right="0" w:firstLine="0"/>
        <w:jc w:val="both"/>
        <w:textAlignment w:val="center"/>
        <w:rPr>
          <w:rFonts w:ascii="方正小标宋简体" w:eastAsia="方正小标宋简体" w:cs="方正小标宋简体" w:hAnsi="方正小标宋简体" w:hint="eastAsia"/>
          <w:b w:val="0"/>
          <w:bCs w:val="0"/>
          <w:i w:val="0"/>
          <w:caps w:val="0"/>
          <w:smallCaps w:val="0"/>
          <w:color w:val="000000"/>
          <w:spacing w:val="0"/>
          <w:kern w:val="0"/>
          <w:sz w:val="44"/>
          <w:szCs w:val="44"/>
          <w:shd w:val="clear" w:color="auto" w:fill="FFFFFF"/>
          <w:lang w:val="en-US" w:eastAsia="zh-CN"/>
          <w:highlight w:val="auto"/>
        </w:rPr>
      </w:pPr>
    </w:p>
    <w:p>
      <w:pPr>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0" w:beforeAutospacing="0" w:after="0" w:afterAutospacing="0" w:line="580" w:lineRule="atLeast"/>
        <w:ind w:left="0" w:right="0" w:firstLine="0"/>
        <w:jc w:val="center"/>
        <w:rPr>
          <w:rFonts w:ascii="方正小标宋简体" w:eastAsia="方正小标宋简体" w:cs="方正小标宋简体" w:hAnsi="方正小标宋简体" w:hint="eastAsia"/>
          <w:b w:val="0"/>
          <w:bCs w:val="0"/>
          <w:i w:val="0"/>
          <w:caps w:val="0"/>
          <w:smallCaps w:val="0"/>
          <w:color w:val="000000"/>
          <w:spacing w:val="0"/>
          <w:sz w:val="44"/>
          <w:szCs w:val="44"/>
          <w:lang w:val="en-US"/>
          <w:highlight w:val="auto"/>
        </w:rPr>
      </w:pPr>
      <w:r>
        <w:rPr>
          <w:rFonts w:ascii="方正小标宋简体" w:eastAsia="方正小标宋简体" w:cs="方正小标宋简体" w:hAnsi="方正小标宋简体"/>
          <w:b w:val="0"/>
          <w:bCs w:val="0"/>
          <w:i w:val="0"/>
          <w:caps w:val="0"/>
          <w:smallCaps w:val="0"/>
          <w:color w:val="000000"/>
          <w:spacing w:val="0"/>
          <w:kern w:val="0"/>
          <w:sz w:val="44"/>
          <w:szCs w:val="44"/>
          <w:shd w:val="clear" w:color="auto" w:fill="FFFFFF"/>
          <w:lang w:val="en-US" w:eastAsia="zh-CN"/>
          <w:highlight w:val="auto"/>
        </w:rPr>
        <w:t>广元石窟研究所</w:t>
      </w:r>
    </w:p>
    <w:p>
      <w:pPr>
        <w:keepNext w:val="0"/>
        <w:keepLines w:val="0"/>
        <w:pageBreakBefore w:val="0"/>
        <w:widowControl/>
        <w:suppressLineNumbers w:val="0"/>
        <w:pBdr>
          <w:top w:val="none" w:sz="0" w:space="0" w:color="auto"/>
          <w:left w:val="none" w:sz="0" w:space="0" w:color="auto"/>
          <w:bottom w:val="none" w:sz="0" w:space="0" w:color="auto"/>
          <w:right w:val="none" w:sz="0" w:space="0" w:color="auto"/>
        </w:pBdr>
        <w:shd w:val="clear" w:color="auto" w:fill="FFFFFF"/>
        <w:suppressAutoHyphens/>
        <w:kinsoku/>
        <w:wordWrap/>
        <w:overflowPunct/>
        <w:topLinePunct w:val="0"/>
        <w:autoSpaceDE/>
        <w:autoSpaceDN/>
        <w:bidi w:val="0"/>
        <w:adjustRightInd/>
        <w:snapToGrid/>
        <w:spacing w:before="0" w:beforeAutospacing="0" w:after="0" w:afterAutospacing="0" w:line="580" w:lineRule="atLeast"/>
        <w:ind w:left="0" w:right="0" w:firstLine="0"/>
        <w:jc w:val="center"/>
        <w:textAlignment w:val="center"/>
        <w:rPr>
          <w:rFonts w:ascii="方正小标宋简体" w:eastAsia="方正小标宋简体" w:cs="方正小标宋简体" w:hAnsi="方正小标宋简体" w:hint="eastAsia"/>
          <w:b w:val="0"/>
          <w:bCs w:val="0"/>
          <w:i w:val="0"/>
          <w:caps w:val="0"/>
          <w:smallCaps w:val="0"/>
          <w:color w:val="000000"/>
          <w:spacing w:val="0"/>
          <w:kern w:val="0"/>
          <w:sz w:val="44"/>
          <w:szCs w:val="44"/>
          <w:shd w:val="clear" w:color="auto" w:fill="FFFFFF"/>
          <w:lang w:val="en-US" w:eastAsia="zh-CN"/>
          <w:highlight w:val="auto"/>
        </w:rPr>
      </w:pPr>
      <w:r>
        <w:rPr>
          <w:rFonts w:ascii="方正小标宋简体" w:eastAsia="方正小标宋简体" w:cs="方正小标宋简体" w:hAnsi="方正小标宋简体" w:hint="eastAsia"/>
          <w:b w:val="0"/>
          <w:bCs w:val="0"/>
          <w:i w:val="0"/>
          <w:caps w:val="0"/>
          <w:smallCaps w:val="0"/>
          <w:color w:val="000000"/>
          <w:spacing w:val="0"/>
          <w:kern w:val="0"/>
          <w:sz w:val="44"/>
          <w:szCs w:val="44"/>
          <w:shd w:val="clear" w:color="auto" w:fill="FFFFFF"/>
          <w:lang w:val="en-US" w:eastAsia="zh-CN"/>
          <w:highlight w:val="auto"/>
        </w:rPr>
        <w:t>2025年单位预算</w:t>
      </w:r>
    </w:p>
    <w:p>
      <w:pPr>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0" w:beforeAutospacing="0" w:after="0" w:afterAutospacing="0" w:line="580" w:lineRule="atLeast"/>
        <w:ind w:left="0" w:right="0" w:firstLine="0"/>
        <w:jc w:val="center"/>
        <w:rPr>
          <w:rFonts w:ascii="仿宋_GB2312" w:eastAsia="仿宋_GB2312" w:cs="仿宋_GB2312" w:hAnsi="仿宋_GB2312" w:hint="eastAsia"/>
          <w:b/>
          <w:bCs/>
          <w:i w:val="0"/>
          <w:caps w:val="0"/>
          <w:smallCaps w:val="0"/>
          <w:color w:val="000000"/>
          <w:spacing w:val="0"/>
          <w:kern w:val="0"/>
          <w:sz w:val="32"/>
          <w:szCs w:val="32"/>
          <w:shd w:val="clear" w:color="auto" w:fill="FFFFFF"/>
          <w:lang w:val="en-US" w:eastAsia="zh-CN"/>
          <w:highlight w:val="yellow"/>
        </w:rPr>
      </w:pPr>
    </w:p>
    <w:p>
      <w:pPr>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0" w:beforeAutospacing="0" w:after="0" w:afterAutospacing="0" w:line="580" w:lineRule="atLeast"/>
        <w:ind w:left="0" w:right="0" w:firstLine="0"/>
        <w:jc w:val="center"/>
        <w:rPr>
          <w:rFonts w:ascii="仿宋_GB2312" w:eastAsia="仿宋_GB2312" w:cs="仿宋_GB2312" w:hAnsi="仿宋_GB2312" w:hint="eastAsia"/>
          <w:b/>
          <w:bCs/>
          <w:i w:val="0"/>
          <w:caps w:val="0"/>
          <w:smallCaps w:val="0"/>
          <w:color w:val="000000"/>
          <w:spacing w:val="0"/>
          <w:kern w:val="0"/>
          <w:sz w:val="32"/>
          <w:szCs w:val="32"/>
          <w:shd w:val="clear" w:color="auto" w:fill="FFFFFF"/>
          <w:lang w:val="en-US" w:eastAsia="zh-CN"/>
          <w:highlight w:val="yellow"/>
        </w:rPr>
      </w:pPr>
    </w:p>
    <w:p>
      <w:pPr>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0" w:beforeAutospacing="0" w:after="0" w:afterAutospacing="0" w:line="580" w:lineRule="atLeast"/>
        <w:ind w:left="0" w:right="0" w:firstLine="0"/>
        <w:jc w:val="center"/>
        <w:rPr>
          <w:rFonts w:ascii="仿宋_GB2312" w:eastAsia="仿宋_GB2312" w:cs="仿宋_GB2312" w:hAnsi="仿宋_GB2312" w:hint="eastAsia"/>
          <w:b/>
          <w:bCs/>
          <w:i w:val="0"/>
          <w:caps w:val="0"/>
          <w:smallCaps w:val="0"/>
          <w:color w:val="000000"/>
          <w:spacing w:val="0"/>
          <w:kern w:val="0"/>
          <w:sz w:val="32"/>
          <w:szCs w:val="32"/>
          <w:shd w:val="clear" w:color="auto" w:fill="FFFFFF"/>
          <w:lang w:val="en-US" w:eastAsia="zh-CN"/>
          <w:highlight w:val="yellow"/>
        </w:rPr>
      </w:pPr>
    </w:p>
    <w:p>
      <w:pPr>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0" w:beforeAutospacing="0" w:after="0" w:afterAutospacing="0" w:line="580" w:lineRule="atLeast"/>
        <w:ind w:left="0" w:right="0" w:firstLine="0"/>
        <w:jc w:val="center"/>
        <w:rPr>
          <w:rFonts w:ascii="仿宋_GB2312" w:eastAsia="仿宋_GB2312" w:cs="仿宋_GB2312" w:hAnsi="仿宋_GB2312" w:hint="eastAsia"/>
          <w:b/>
          <w:bCs/>
          <w:i w:val="0"/>
          <w:caps w:val="0"/>
          <w:smallCaps w:val="0"/>
          <w:color w:val="000000"/>
          <w:spacing w:val="0"/>
          <w:kern w:val="0"/>
          <w:sz w:val="32"/>
          <w:szCs w:val="32"/>
          <w:shd w:val="clear" w:color="auto" w:fill="FFFFFF"/>
          <w:lang w:val="en-US" w:eastAsia="zh-CN"/>
          <w:highlight w:val="yellow"/>
        </w:rPr>
      </w:pPr>
    </w:p>
    <w:p>
      <w:pPr>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0" w:beforeAutospacing="0" w:after="0" w:afterAutospacing="0" w:line="580" w:lineRule="atLeast"/>
        <w:ind w:left="0" w:right="0" w:firstLine="0"/>
        <w:jc w:val="center"/>
        <w:rPr>
          <w:rFonts w:ascii="仿宋_GB2312" w:eastAsia="仿宋_GB2312" w:cs="仿宋_GB2312" w:hAnsi="仿宋_GB2312" w:hint="eastAsia"/>
          <w:b/>
          <w:bCs/>
          <w:i w:val="0"/>
          <w:caps w:val="0"/>
          <w:smallCaps w:val="0"/>
          <w:color w:val="000000"/>
          <w:spacing w:val="0"/>
          <w:kern w:val="0"/>
          <w:sz w:val="32"/>
          <w:szCs w:val="32"/>
          <w:shd w:val="clear" w:color="auto" w:fill="FFFFFF"/>
          <w:lang w:val="en-US" w:eastAsia="zh-CN"/>
          <w:highlight w:val="yellow"/>
        </w:rPr>
      </w:pPr>
    </w:p>
    <w:p>
      <w:pPr>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0" w:beforeAutospacing="0" w:after="0" w:afterAutospacing="0" w:line="580" w:lineRule="atLeast"/>
        <w:ind w:left="0" w:right="0" w:firstLine="0"/>
        <w:jc w:val="both"/>
        <w:rPr>
          <w:rFonts w:ascii="仿宋_GB2312" w:eastAsia="仿宋_GB2312" w:cs="仿宋_GB2312" w:hAnsi="仿宋_GB2312" w:hint="eastAsia"/>
          <w:b/>
          <w:bCs/>
          <w:i w:val="0"/>
          <w:caps w:val="0"/>
          <w:smallCaps w:val="0"/>
          <w:color w:val="000000"/>
          <w:spacing w:val="0"/>
          <w:kern w:val="0"/>
          <w:sz w:val="32"/>
          <w:szCs w:val="32"/>
          <w:shd w:val="clear" w:color="auto" w:fill="FFFFFF"/>
          <w:lang w:val="en-US" w:eastAsia="zh-CN"/>
          <w:highlight w:val="yellow"/>
        </w:rPr>
      </w:pPr>
    </w:p>
    <w:p>
      <w:pPr>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0" w:beforeAutospacing="0" w:after="0" w:afterAutospacing="0" w:line="580" w:lineRule="atLeast"/>
        <w:ind w:left="0" w:right="0" w:firstLine="0"/>
        <w:jc w:val="center"/>
        <w:rPr>
          <w:rFonts w:ascii="仿宋_GB2312" w:eastAsia="仿宋_GB2312" w:cs="仿宋_GB2312" w:hAnsi="仿宋_GB2312" w:hint="eastAsia"/>
          <w:b/>
          <w:bCs/>
          <w:i w:val="0"/>
          <w:caps w:val="0"/>
          <w:smallCaps w:val="0"/>
          <w:color w:val="000000"/>
          <w:spacing w:val="0"/>
          <w:kern w:val="0"/>
          <w:sz w:val="32"/>
          <w:szCs w:val="32"/>
          <w:shd w:val="clear" w:color="auto" w:fill="FFFFFF"/>
          <w:lang w:val="en-US" w:eastAsia="zh-CN"/>
          <w:highlight w:val="yellow"/>
        </w:rPr>
      </w:pPr>
    </w:p>
    <w:p>
      <w:pPr>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0" w:beforeAutospacing="0" w:after="0" w:afterAutospacing="0" w:line="580" w:lineRule="atLeast"/>
        <w:ind w:left="0" w:right="0" w:firstLine="0"/>
        <w:jc w:val="center"/>
        <w:rPr>
          <w:rFonts w:ascii="仿宋_GB2312" w:eastAsia="仿宋_GB2312" w:cs="仿宋_GB2312" w:hAnsi="仿宋_GB2312" w:hint="eastAsia"/>
          <w:b/>
          <w:bCs/>
          <w:i w:val="0"/>
          <w:caps w:val="0"/>
          <w:smallCaps w:val="0"/>
          <w:color w:val="000000"/>
          <w:spacing w:val="0"/>
          <w:kern w:val="0"/>
          <w:sz w:val="32"/>
          <w:szCs w:val="32"/>
          <w:shd w:val="clear" w:color="auto" w:fill="FFFFFF"/>
          <w:lang w:val="en-US" w:eastAsia="zh-CN"/>
          <w:highlight w:val="yellow"/>
        </w:rPr>
        <w:sectPr>
          <w:footerReference w:type="default" r:id="rId2"/>
          <w:footerReference w:type="even" r:id="rId3"/>
          <w:footerReference w:type="first" r:id="rId4"/>
          <w:pgSz w:w="11906" w:h="16838"/>
          <w:pgMar w:top="2098" w:right="1474" w:bottom="1984" w:left="1587" w:header="720" w:footer="1559" w:gutter="0"/>
          <w:cols w:num="1" w:space="0"/>
          <w:rtlGutter/>
          <w:docGrid w:type="lines" w:linePitch="312" w:charSpace="0"/>
        </w:sectPr>
      </w:pPr>
    </w:p>
    <w:p>
      <w:pPr>
        <w:keepNext w:val="0"/>
        <w:keepLines w:val="0"/>
        <w:pageBreakBefore w:val="0"/>
        <w:widowControl w:val="0"/>
        <w:suppressLineNumbers w:val="0"/>
        <w:pBdr>
          <w:top w:val="none" w:sz="0" w:space="0" w:color="auto"/>
          <w:left w:val="none" w:sz="0" w:space="0" w:color="auto"/>
          <w:bottom w:val="none" w:sz="0" w:space="0" w:color="auto"/>
          <w:right w:val="none" w:sz="0" w:space="0" w:color="auto"/>
        </w:pBdr>
        <w:suppressAutoHyphens/>
        <w:jc w:val="center"/>
        <w:rPr>
          <w:rFonts w:ascii="黑体" w:eastAsia="黑体" w:cs="黑体" w:hAnsi="黑体" w:hint="eastAsia"/>
          <w:i w:val="0"/>
          <w:caps w:val="0"/>
          <w:smallCaps w:val="0"/>
          <w:color w:val="auto"/>
          <w:spacing w:val="0"/>
          <w:kern w:val="0"/>
          <w:sz w:val="32"/>
          <w:szCs w:val="32"/>
          <w:shd w:val="clear" w:color="auto" w:fill="FFFFFF"/>
          <w:lang w:val="en-US" w:eastAsia="zh-CN"/>
          <w:highlight w:val="auto"/>
        </w:rPr>
      </w:pPr>
      <w:r>
        <w:rPr>
          <w:rFonts w:ascii="黑体" w:eastAsia="黑体" w:cs="黑体" w:hAnsi="黑体" w:hint="eastAsia"/>
          <w:color w:val="auto"/>
          <w:sz w:val="32"/>
          <w:szCs w:val="32"/>
        </w:rPr>
        <w:t>目</w:t>
      </w:r>
      <w:r>
        <w:rPr>
          <w:rFonts w:ascii="黑体" w:eastAsia="黑体" w:cs="黑体" w:hAnsi="黑体" w:hint="eastAsia"/>
          <w:color w:val="auto"/>
          <w:sz w:val="32"/>
          <w:szCs w:val="32"/>
          <w:lang w:val="en-US" w:eastAsia="zh-CN"/>
        </w:rPr>
        <w:t xml:space="preserve">  </w:t>
      </w:r>
      <w:r>
        <w:rPr>
          <w:rFonts w:ascii="黑体" w:eastAsia="黑体" w:cs="黑体" w:hAnsi="黑体" w:hint="eastAsia"/>
          <w:color w:val="auto"/>
          <w:sz w:val="32"/>
          <w:szCs w:val="32"/>
        </w:rPr>
        <w:t>录</w:t>
      </w:r>
    </w:p>
    <w:p>
      <w:pPr>
        <w:pStyle w:val="20"/>
        <w:keepNext w:val="0"/>
        <w:keepLines w:val="0"/>
        <w:widowControl w:val="0"/>
        <w:suppressLineNumbers w:val="0"/>
        <w:pBdr>
          <w:top w:val="none" w:sz="0" w:space="0" w:color="auto"/>
          <w:left w:val="none" w:sz="0" w:space="0" w:color="auto"/>
          <w:bottom w:val="none" w:sz="0" w:space="0" w:color="auto"/>
          <w:right w:val="none" w:sz="0" w:space="0" w:color="auto"/>
        </w:pBdr>
        <w:tabs>
          <w:tab w:val="right" w:leader="dot" w:pos="8845"/>
        </w:tabs>
        <w:suppressAutoHyphens/>
        <w:jc w:val="both"/>
        <w:rPr>
          <w:rFonts w:ascii="黑体" w:eastAsia="黑体" w:cs="黑体" w:hAnsi="黑体" w:hint="eastAsia"/>
          <w:b w:val="0"/>
          <w:bCs w:val="0"/>
          <w:sz w:val="32"/>
          <w:szCs w:val="32"/>
        </w:rPr>
      </w:pPr>
      <w:r>
        <w:rPr>
          <w:rFonts w:ascii="黑体" w:eastAsia="黑体" w:cs="黑体" w:hAnsi="黑体" w:hint="eastAsia"/>
          <w:b w:val="0"/>
          <w:bCs w:val="0"/>
          <w:i w:val="0"/>
          <w:caps w:val="0"/>
          <w:smallCaps w:val="0"/>
          <w:color w:val="000000"/>
          <w:spacing w:val="0"/>
          <w:kern w:val="0"/>
          <w:sz w:val="32"/>
          <w:szCs w:val="32"/>
          <w:shd w:val="clear" w:color="auto" w:fill="FFFFFF"/>
          <w:lang w:val="en-US" w:eastAsia="zh-CN"/>
          <w:highlight w:val="auto"/>
        </w:rPr>
        <w:fldChar w:fldCharType="begin"/>
      </w:r>
      <w:r>
        <w:rPr>
          <w:rFonts w:ascii="黑体" w:eastAsia="黑体" w:cs="黑体" w:hAnsi="黑体" w:hint="eastAsia"/>
          <w:b w:val="0"/>
          <w:bCs w:val="0"/>
          <w:i w:val="0"/>
          <w:caps w:val="0"/>
          <w:smallCaps w:val="0"/>
          <w:color w:val="000000"/>
          <w:spacing w:val="0"/>
          <w:kern w:val="0"/>
          <w:sz w:val="32"/>
          <w:szCs w:val="32"/>
          <w:shd w:val="clear" w:color="auto" w:fill="FFFFFF"/>
          <w:lang w:val="en-US" w:eastAsia="zh-CN"/>
          <w:highlight w:val="auto"/>
        </w:rPr>
        <w:instrText xml:space="preserve"> TOC \o "1-3" \h \u </w:instrText>
      </w:r>
      <w:r>
        <w:rPr>
          <w:rFonts w:ascii="黑体" w:eastAsia="黑体" w:cs="黑体" w:hAnsi="黑体" w:hint="eastAsia"/>
          <w:b w:val="0"/>
          <w:bCs w:val="0"/>
          <w:i w:val="0"/>
          <w:caps w:val="0"/>
          <w:smallCaps w:val="0"/>
          <w:color w:val="000000"/>
          <w:spacing w:val="0"/>
          <w:kern w:val="0"/>
          <w:sz w:val="32"/>
          <w:szCs w:val="32"/>
          <w:shd w:val="clear" w:color="auto" w:fill="FFFFFF"/>
          <w:lang w:val="en-US" w:eastAsia="zh-CN"/>
          <w:highlight w:val="auto"/>
        </w:rPr>
        <w:fldChar w:fldCharType="separate"/>
      </w:r>
      <w:r>
        <w:rPr>
          <w:rFonts w:ascii="黑体" w:eastAsia="黑体" w:cs="黑体" w:hAnsi="黑体" w:hint="eastAsia"/>
          <w:b w:val="0"/>
          <w:bCs w:val="0"/>
          <w:sz w:val="32"/>
          <w:szCs w:val="32"/>
        </w:rPr>
        <w:fldChar w:fldCharType="begin"/>
      </w:r>
      <w:r>
        <w:rPr>
          <w:rFonts w:ascii="黑体" w:eastAsia="黑体" w:cs="黑体" w:hAnsi="黑体" w:hint="eastAsia"/>
          <w:b w:val="0"/>
          <w:bCs w:val="0"/>
          <w:sz w:val="32"/>
          <w:szCs w:val="32"/>
        </w:rPr>
        <w:instrText>Hyperlink \l "_Toc32276837"</w:instrText>
      </w:r>
      <w:r>
        <w:rPr>
          <w:rFonts w:ascii="黑体" w:eastAsia="黑体" w:cs="黑体" w:hAnsi="黑体" w:hint="eastAsia"/>
          <w:b w:val="0"/>
          <w:bCs w:val="0"/>
          <w:sz w:val="32"/>
          <w:szCs w:val="32"/>
        </w:rPr>
        <w:fldChar w:fldCharType="separate"/>
      </w:r>
      <w:r>
        <w:rPr>
          <w:rFonts w:ascii="黑体" w:eastAsia="黑体" w:cs="黑体" w:hAnsi="黑体" w:hint="eastAsia"/>
          <w:b w:val="0"/>
          <w:bCs w:val="0"/>
          <w:sz w:val="32"/>
          <w:szCs w:val="32"/>
        </w:rPr>
        <w:t>第一部分 广元石窟研究所单位概况</w:t>
      </w:r>
      <w:r>
        <w:rPr>
          <w:rFonts w:ascii="黑体" w:eastAsia="黑体" w:cs="黑体" w:hAnsi="黑体" w:hint="eastAsia"/>
          <w:b w:val="0"/>
          <w:bCs w:val="0"/>
          <w:sz w:val="32"/>
          <w:szCs w:val="32"/>
        </w:rPr>
        <w:fldChar w:fldCharType="end"/>
      </w:r>
    </w:p>
    <w:p>
      <w:pPr>
        <w:pStyle w:val="22"/>
        <w:keepNext w:val="0"/>
        <w:keepLines w:val="0"/>
        <w:widowControl w:val="0"/>
        <w:suppressLineNumbers w:val="0"/>
        <w:pBdr>
          <w:top w:val="none" w:sz="0" w:space="0" w:color="auto"/>
          <w:left w:val="none" w:sz="0" w:space="0" w:color="auto"/>
          <w:bottom w:val="none" w:sz="0" w:space="0" w:color="auto"/>
          <w:right w:val="none" w:sz="0" w:space="0" w:color="auto"/>
        </w:pBdr>
        <w:tabs>
          <w:tab w:val="right" w:leader="dot" w:pos="8845"/>
        </w:tabs>
        <w:suppressAutoHyphens/>
        <w:ind w:left="0" w:firstLine="0"/>
        <w:jc w:val="both"/>
        <w:rPr>
          <w:rFonts w:ascii="黑体" w:eastAsia="黑体" w:cs="黑体" w:hAnsi="黑体" w:hint="eastAsia"/>
          <w:b w:val="0"/>
          <w:bCs w:val="0"/>
          <w:sz w:val="32"/>
          <w:szCs w:val="32"/>
        </w:rPr>
      </w:pPr>
      <w:r>
        <w:rPr>
          <w:rFonts w:ascii="黑体" w:eastAsia="黑体" w:cs="黑体" w:hAnsi="黑体" w:hint="eastAsia"/>
          <w:b w:val="0"/>
          <w:bCs w:val="0"/>
          <w:sz w:val="32"/>
          <w:szCs w:val="32"/>
        </w:rPr>
        <w:fldChar w:fldCharType="begin"/>
      </w:r>
      <w:r>
        <w:rPr>
          <w:rFonts w:ascii="黑体" w:eastAsia="黑体" w:cs="黑体" w:hAnsi="黑体" w:hint="eastAsia"/>
          <w:b w:val="0"/>
          <w:bCs w:val="0"/>
          <w:sz w:val="32"/>
          <w:szCs w:val="32"/>
        </w:rPr>
        <w:instrText>Hyperlink \l "_Toc32276838"</w:instrText>
      </w:r>
      <w:r>
        <w:rPr>
          <w:rFonts w:ascii="黑体" w:eastAsia="黑体" w:cs="黑体" w:hAnsi="黑体" w:hint="eastAsia"/>
          <w:b w:val="0"/>
          <w:bCs w:val="0"/>
          <w:sz w:val="32"/>
          <w:szCs w:val="32"/>
        </w:rPr>
        <w:fldChar w:fldCharType="separate"/>
      </w:r>
      <w:r>
        <w:rPr>
          <w:rFonts w:ascii="黑体" w:eastAsia="黑体" w:cs="黑体" w:hAnsi="黑体" w:hint="eastAsia"/>
          <w:b w:val="0"/>
          <w:bCs w:val="0"/>
          <w:sz w:val="32"/>
          <w:szCs w:val="32"/>
        </w:rPr>
        <w:t>一、基本职能及主要工作</w:t>
      </w:r>
      <w:r>
        <w:rPr>
          <w:rFonts w:ascii="黑体" w:eastAsia="黑体" w:cs="黑体" w:hAnsi="黑体" w:hint="eastAsia"/>
          <w:b w:val="0"/>
          <w:bCs w:val="0"/>
          <w:sz w:val="32"/>
          <w:szCs w:val="32"/>
        </w:rPr>
        <w:fldChar w:fldCharType="end"/>
      </w:r>
    </w:p>
    <w:p>
      <w:pPr>
        <w:pStyle w:val="22"/>
        <w:keepNext w:val="0"/>
        <w:keepLines w:val="0"/>
        <w:widowControl w:val="0"/>
        <w:suppressLineNumbers w:val="0"/>
        <w:pBdr>
          <w:top w:val="none" w:sz="0" w:space="0" w:color="auto"/>
          <w:left w:val="none" w:sz="0" w:space="0" w:color="auto"/>
          <w:bottom w:val="none" w:sz="0" w:space="0" w:color="auto"/>
          <w:right w:val="none" w:sz="0" w:space="0" w:color="auto"/>
        </w:pBdr>
        <w:tabs>
          <w:tab w:val="right" w:leader="dot" w:pos="8845"/>
        </w:tabs>
        <w:suppressAutoHyphens/>
        <w:ind w:left="0" w:firstLine="0"/>
        <w:jc w:val="both"/>
        <w:rPr>
          <w:rFonts w:ascii="黑体" w:eastAsia="黑体" w:cs="黑体" w:hAnsi="黑体" w:hint="eastAsia"/>
          <w:b w:val="0"/>
          <w:bCs w:val="0"/>
          <w:sz w:val="32"/>
          <w:szCs w:val="32"/>
        </w:rPr>
      </w:pPr>
      <w:r>
        <w:rPr>
          <w:rFonts w:ascii="黑体" w:eastAsia="黑体" w:cs="黑体" w:hAnsi="黑体" w:hint="eastAsia"/>
          <w:b w:val="0"/>
          <w:bCs w:val="0"/>
          <w:sz w:val="32"/>
          <w:szCs w:val="32"/>
        </w:rPr>
        <w:fldChar w:fldCharType="begin"/>
      </w:r>
      <w:r>
        <w:rPr>
          <w:rFonts w:ascii="黑体" w:eastAsia="黑体" w:cs="黑体" w:hAnsi="黑体" w:hint="eastAsia"/>
          <w:b w:val="0"/>
          <w:bCs w:val="0"/>
          <w:sz w:val="32"/>
          <w:szCs w:val="32"/>
        </w:rPr>
        <w:instrText>Hyperlink \l "_Toc32276841"</w:instrText>
      </w:r>
      <w:r>
        <w:rPr>
          <w:rFonts w:ascii="黑体" w:eastAsia="黑体" w:cs="黑体" w:hAnsi="黑体" w:hint="eastAsia"/>
          <w:b w:val="0"/>
          <w:bCs w:val="0"/>
          <w:sz w:val="32"/>
          <w:szCs w:val="32"/>
        </w:rPr>
        <w:fldChar w:fldCharType="separate"/>
      </w:r>
      <w:r>
        <w:rPr>
          <w:rFonts w:ascii="黑体" w:eastAsia="黑体" w:cs="黑体" w:hAnsi="黑体" w:hint="eastAsia"/>
          <w:b w:val="0"/>
          <w:bCs w:val="0"/>
          <w:sz w:val="32"/>
          <w:szCs w:val="32"/>
        </w:rPr>
        <w:t>二、部门预算单位构成</w:t>
      </w:r>
      <w:r>
        <w:rPr>
          <w:rFonts w:ascii="黑体" w:eastAsia="黑体" w:cs="黑体" w:hAnsi="黑体" w:hint="eastAsia"/>
          <w:b w:val="0"/>
          <w:bCs w:val="0"/>
          <w:sz w:val="32"/>
          <w:szCs w:val="32"/>
        </w:rPr>
        <w:fldChar w:fldCharType="end"/>
      </w:r>
    </w:p>
    <w:p>
      <w:pPr>
        <w:pStyle w:val="20"/>
        <w:keepNext w:val="0"/>
        <w:keepLines w:val="0"/>
        <w:widowControl w:val="0"/>
        <w:suppressLineNumbers w:val="0"/>
        <w:pBdr>
          <w:top w:val="none" w:sz="0" w:space="0" w:color="auto"/>
          <w:left w:val="none" w:sz="0" w:space="0" w:color="auto"/>
          <w:bottom w:val="none" w:sz="0" w:space="0" w:color="auto"/>
          <w:right w:val="none" w:sz="0" w:space="0" w:color="auto"/>
        </w:pBdr>
        <w:tabs>
          <w:tab w:val="right" w:leader="dot" w:pos="8845"/>
        </w:tabs>
        <w:suppressAutoHyphens/>
        <w:jc w:val="both"/>
        <w:rPr>
          <w:rFonts w:ascii="黑体" w:eastAsia="黑体" w:cs="黑体" w:hAnsi="黑体" w:hint="eastAsia"/>
          <w:b w:val="0"/>
          <w:bCs w:val="0"/>
          <w:sz w:val="32"/>
          <w:szCs w:val="32"/>
        </w:rPr>
      </w:pPr>
      <w:r>
        <w:rPr>
          <w:rFonts w:ascii="黑体" w:eastAsia="黑体" w:cs="黑体" w:hAnsi="黑体" w:hint="eastAsia"/>
          <w:b w:val="0"/>
          <w:bCs w:val="0"/>
          <w:sz w:val="32"/>
          <w:szCs w:val="32"/>
        </w:rPr>
        <w:fldChar w:fldCharType="begin"/>
      </w:r>
      <w:r>
        <w:rPr>
          <w:rFonts w:ascii="黑体" w:eastAsia="黑体" w:cs="黑体" w:hAnsi="黑体" w:hint="eastAsia"/>
          <w:b w:val="0"/>
          <w:bCs w:val="0"/>
          <w:sz w:val="32"/>
          <w:szCs w:val="32"/>
        </w:rPr>
        <w:instrText>Hyperlink \l "_Toc32276842"</w:instrText>
      </w:r>
      <w:r>
        <w:rPr>
          <w:rFonts w:ascii="黑体" w:eastAsia="黑体" w:cs="黑体" w:hAnsi="黑体" w:hint="eastAsia"/>
          <w:b w:val="0"/>
          <w:bCs w:val="0"/>
          <w:sz w:val="32"/>
          <w:szCs w:val="32"/>
        </w:rPr>
        <w:fldChar w:fldCharType="separate"/>
      </w:r>
      <w:r>
        <w:rPr>
          <w:rFonts w:ascii="黑体" w:eastAsia="黑体" w:cs="黑体" w:hAnsi="黑体" w:hint="eastAsia"/>
          <w:b w:val="0"/>
          <w:bCs w:val="0"/>
          <w:sz w:val="32"/>
          <w:szCs w:val="32"/>
        </w:rPr>
        <w:t>第二部分 广元石窟研究所2025年</w:t>
      </w:r>
      <w:r>
        <w:rPr>
          <w:rFonts w:ascii="黑体" w:eastAsia="黑体" w:cs="黑体" w:hAnsi="黑体" w:hint="eastAsia"/>
          <w:b w:val="0"/>
          <w:bCs w:val="0"/>
          <w:sz w:val="32"/>
          <w:szCs w:val="32"/>
        </w:rPr>
        <w:fldChar w:fldCharType="end"/>
      </w:r>
      <w:r>
        <w:rPr>
          <w:rFonts w:ascii="黑体" w:eastAsia="黑体" w:cs="黑体" w:hAnsi="黑体" w:hint="eastAsia"/>
          <w:b w:val="0"/>
          <w:bCs w:val="0"/>
          <w:sz w:val="32"/>
          <w:szCs w:val="32"/>
        </w:rPr>
        <w:fldChar w:fldCharType="begin"/>
      </w:r>
      <w:r>
        <w:rPr>
          <w:rFonts w:ascii="黑体" w:eastAsia="黑体" w:cs="黑体" w:hAnsi="黑体" w:hint="eastAsia"/>
          <w:b w:val="0"/>
          <w:bCs w:val="0"/>
          <w:sz w:val="32"/>
          <w:szCs w:val="32"/>
        </w:rPr>
        <w:instrText>Hyperlink \l "_Toc32276843"</w:instrText>
      </w:r>
      <w:r>
        <w:rPr>
          <w:rFonts w:ascii="黑体" w:eastAsia="黑体" w:cs="黑体" w:hAnsi="黑体" w:hint="eastAsia"/>
          <w:b w:val="0"/>
          <w:bCs w:val="0"/>
          <w:sz w:val="32"/>
          <w:szCs w:val="32"/>
        </w:rPr>
        <w:fldChar w:fldCharType="separate"/>
      </w:r>
      <w:r>
        <w:rPr>
          <w:rFonts w:ascii="黑体" w:eastAsia="黑体" w:cs="黑体" w:hAnsi="黑体" w:hint="eastAsia"/>
          <w:b w:val="0"/>
          <w:bCs w:val="0"/>
          <w:sz w:val="32"/>
          <w:szCs w:val="32"/>
        </w:rPr>
        <w:t>单位预算情况说明</w:t>
      </w:r>
      <w:r>
        <w:rPr>
          <w:rFonts w:ascii="黑体" w:eastAsia="黑体" w:cs="黑体" w:hAnsi="黑体" w:hint="eastAsia"/>
          <w:b w:val="0"/>
          <w:bCs w:val="0"/>
          <w:sz w:val="32"/>
          <w:szCs w:val="32"/>
        </w:rPr>
        <w:fldChar w:fldCharType="end"/>
      </w:r>
    </w:p>
    <w:p>
      <w:pPr>
        <w:pStyle w:val="20"/>
        <w:keepNext w:val="0"/>
        <w:keepLines w:val="0"/>
        <w:widowControl w:val="0"/>
        <w:suppressLineNumbers w:val="0"/>
        <w:pBdr>
          <w:top w:val="none" w:sz="0" w:space="0" w:color="auto"/>
          <w:left w:val="none" w:sz="0" w:space="0" w:color="auto"/>
          <w:bottom w:val="none" w:sz="0" w:space="0" w:color="auto"/>
          <w:right w:val="none" w:sz="0" w:space="0" w:color="auto"/>
        </w:pBdr>
        <w:tabs>
          <w:tab w:val="right" w:leader="dot" w:pos="8845"/>
        </w:tabs>
        <w:suppressAutoHyphens/>
        <w:jc w:val="both"/>
        <w:rPr>
          <w:rFonts w:ascii="黑体" w:eastAsia="黑体" w:cs="黑体" w:hAnsi="黑体" w:hint="eastAsia"/>
          <w:b w:val="0"/>
          <w:bCs w:val="0"/>
          <w:sz w:val="32"/>
          <w:szCs w:val="32"/>
        </w:rPr>
      </w:pPr>
      <w:r>
        <w:rPr>
          <w:rFonts w:ascii="黑体" w:eastAsia="黑体" w:cs="黑体" w:hAnsi="黑体" w:hint="eastAsia"/>
          <w:b w:val="0"/>
          <w:bCs w:val="0"/>
          <w:sz w:val="32"/>
          <w:szCs w:val="32"/>
        </w:rPr>
        <w:fldChar w:fldCharType="begin"/>
      </w:r>
      <w:r>
        <w:rPr>
          <w:rFonts w:ascii="黑体" w:eastAsia="黑体" w:cs="黑体" w:hAnsi="黑体" w:hint="eastAsia"/>
          <w:b w:val="0"/>
          <w:bCs w:val="0"/>
          <w:sz w:val="32"/>
          <w:szCs w:val="32"/>
        </w:rPr>
        <w:instrText>Hyperlink \l "_Toc32276864"</w:instrText>
      </w:r>
      <w:r>
        <w:rPr>
          <w:rFonts w:ascii="黑体" w:eastAsia="黑体" w:cs="黑体" w:hAnsi="黑体" w:hint="eastAsia"/>
          <w:b w:val="0"/>
          <w:bCs w:val="0"/>
          <w:sz w:val="32"/>
          <w:szCs w:val="32"/>
        </w:rPr>
        <w:fldChar w:fldCharType="separate"/>
      </w:r>
      <w:r>
        <w:rPr>
          <w:rFonts w:ascii="黑体" w:eastAsia="黑体" w:cs="黑体" w:hAnsi="黑体" w:hint="eastAsia"/>
          <w:b w:val="0"/>
          <w:bCs w:val="0"/>
          <w:sz w:val="32"/>
          <w:szCs w:val="32"/>
        </w:rPr>
        <w:t>第三部分 名词解释</w:t>
      </w:r>
      <w:r>
        <w:rPr>
          <w:rFonts w:ascii="黑体" w:eastAsia="黑体" w:cs="黑体" w:hAnsi="黑体" w:hint="eastAsia"/>
          <w:b w:val="0"/>
          <w:bCs w:val="0"/>
          <w:sz w:val="32"/>
          <w:szCs w:val="32"/>
        </w:rPr>
        <w:fldChar w:fldCharType="end"/>
      </w:r>
    </w:p>
    <w:p>
      <w:pPr>
        <w:pStyle w:val="20"/>
        <w:keepNext w:val="0"/>
        <w:keepLines w:val="0"/>
        <w:widowControl w:val="0"/>
        <w:suppressLineNumbers w:val="0"/>
        <w:pBdr>
          <w:top w:val="none" w:sz="0" w:space="0" w:color="auto"/>
          <w:left w:val="none" w:sz="0" w:space="0" w:color="auto"/>
          <w:bottom w:val="none" w:sz="0" w:space="0" w:color="auto"/>
          <w:right w:val="none" w:sz="0" w:space="0" w:color="auto"/>
        </w:pBdr>
        <w:tabs>
          <w:tab w:val="right" w:leader="dot" w:pos="8845"/>
        </w:tabs>
        <w:suppressAutoHyphens/>
        <w:jc w:val="both"/>
        <w:rPr>
          <w:rFonts w:ascii="黑体" w:eastAsia="黑体" w:cs="黑体" w:hAnsi="黑体" w:hint="eastAsia"/>
          <w:sz w:val="32"/>
          <w:szCs w:val="32"/>
        </w:rPr>
      </w:pPr>
      <w:r>
        <w:rPr>
          <w:rFonts w:ascii="黑体" w:eastAsia="黑体" w:cs="黑体" w:hAnsi="黑体" w:hint="eastAsia"/>
          <w:b w:val="0"/>
          <w:bCs w:val="0"/>
          <w:sz w:val="32"/>
          <w:szCs w:val="32"/>
        </w:rPr>
        <w:fldChar w:fldCharType="begin"/>
      </w:r>
      <w:r>
        <w:rPr>
          <w:rFonts w:ascii="黑体" w:eastAsia="黑体" w:cs="黑体" w:hAnsi="黑体" w:hint="eastAsia"/>
          <w:b w:val="0"/>
          <w:bCs w:val="0"/>
          <w:sz w:val="32"/>
          <w:szCs w:val="32"/>
        </w:rPr>
        <w:instrText>Hyperlink \l "_Toc32276865"</w:instrText>
      </w:r>
      <w:r>
        <w:rPr>
          <w:rFonts w:ascii="黑体" w:eastAsia="黑体" w:cs="黑体" w:hAnsi="黑体" w:hint="eastAsia"/>
          <w:b w:val="0"/>
          <w:bCs w:val="0"/>
          <w:sz w:val="32"/>
          <w:szCs w:val="32"/>
        </w:rPr>
        <w:fldChar w:fldCharType="separate"/>
      </w:r>
      <w:r>
        <w:rPr>
          <w:rFonts w:ascii="黑体" w:eastAsia="黑体" w:cs="黑体" w:hAnsi="黑体" w:hint="eastAsia"/>
          <w:b w:val="0"/>
          <w:bCs w:val="0"/>
          <w:sz w:val="32"/>
          <w:szCs w:val="32"/>
        </w:rPr>
        <w:t>第四部分 广元石窟研究所2025年单位预算表</w:t>
      </w:r>
      <w:r>
        <w:rPr>
          <w:rFonts w:ascii="黑体" w:eastAsia="黑体" w:cs="黑体" w:hAnsi="黑体" w:hint="eastAsia"/>
          <w:b w:val="0"/>
          <w:bCs w:val="0"/>
          <w:sz w:val="32"/>
          <w:szCs w:val="32"/>
        </w:rPr>
        <w:fldChar w:fldCharType="end"/>
      </w:r>
      <w:r>
        <w:rPr>
          <w:rFonts w:ascii="黑体" w:eastAsia="黑体" w:cs="黑体" w:hAnsi="黑体" w:hint="eastAsia"/>
          <w:b w:val="0"/>
          <w:bCs w:val="0"/>
          <w:i w:val="0"/>
          <w:caps w:val="0"/>
          <w:smallCaps w:val="0"/>
          <w:color w:val="000000"/>
          <w:spacing w:val="0"/>
          <w:kern w:val="0"/>
          <w:sz w:val="32"/>
          <w:szCs w:val="32"/>
          <w:shd w:val="clear" w:color="auto" w:fill="FFFFFF"/>
          <w:lang w:val="en-US" w:eastAsia="zh-CN"/>
          <w:highlight w:val="auto"/>
        </w:rPr>
        <w:fldChar w:fldCharType="end"/>
      </w:r>
    </w:p>
    <w:p>
      <w:pPr>
        <w:numPr>
          <w:ilvl w:val="0"/>
          <w:numId w:val="1"/>
        </w:numPr>
        <w:ind w:left="160" w:firstLine="0"/>
        <w:jc w:val="both"/>
        <w:rPr>
          <w:rFonts w:ascii="黑体" w:eastAsia="黑体" w:cs="黑体" w:hAnsi="黑体" w:hint="eastAsia"/>
          <w:b w:val="0"/>
          <w:bCs w:val="0"/>
          <w:i w:val="0"/>
          <w:caps w:val="0"/>
          <w:smallCaps w:val="0"/>
          <w:color w:val="000000"/>
          <w:spacing w:val="0"/>
          <w:kern w:val="0"/>
          <w:sz w:val="32"/>
          <w:szCs w:val="32"/>
          <w:shd w:val="clear" w:color="auto" w:fill="FFFFFF"/>
          <w14:textFill>
            <w14:solidFill>
              <w14:srgbClr w14:val="000000"/>
            </w14:solidFill>
          </w14:textFill>
          <w:lang w:val="en-US" w:eastAsia="zh-CN"/>
          <w:highlight w:val="auto"/>
        </w:rPr>
      </w:pPr>
      <w:r>
        <w:rPr>
          <w:rFonts w:ascii="黑体" w:eastAsia="黑体" w:cs="黑体" w:hAnsi="黑体" w:hint="eastAsia"/>
          <w:b w:val="0"/>
          <w:bCs w:val="0"/>
          <w:i w:val="0"/>
          <w:caps w:val="0"/>
          <w:smallCaps w:val="0"/>
          <w:color w:val="000000"/>
          <w:spacing w:val="0"/>
          <w:kern w:val="0"/>
          <w:sz w:val="32"/>
          <w:szCs w:val="32"/>
          <w:shd w:val="clear" w:color="auto" w:fill="FFFFFF"/>
          <w14:textFill>
            <w14:solidFill>
              <w14:srgbClr w14:val="000000"/>
            </w14:solidFill>
          </w14:textFill>
          <w:lang w:val="en-US" w:eastAsia="zh-CN"/>
          <w:highlight w:val="auto"/>
        </w:rPr>
        <w:t xml:space="preserve">部门收支总表 </w:t>
      </w:r>
    </w:p>
    <w:p>
      <w:pPr>
        <w:numPr>
          <w:ilvl w:val="0"/>
          <w:numId w:val="1"/>
        </w:numPr>
        <w:ind w:left="160" w:firstLine="0"/>
        <w:jc w:val="both"/>
        <w:rPr>
          <w:rFonts w:ascii="黑体" w:eastAsia="黑体" w:cs="黑体" w:hAnsi="黑体" w:hint="eastAsia"/>
          <w:b w:val="0"/>
          <w:bCs w:val="0"/>
          <w:i w:val="0"/>
          <w:caps w:val="0"/>
          <w:smallCaps w:val="0"/>
          <w:color w:val="000000"/>
          <w:spacing w:val="0"/>
          <w:kern w:val="0"/>
          <w:sz w:val="32"/>
          <w:szCs w:val="32"/>
          <w:shd w:val="clear" w:color="auto" w:fill="FFFFFF"/>
          <w14:textFill>
            <w14:solidFill>
              <w14:srgbClr w14:val="000000"/>
            </w14:solidFill>
          </w14:textFill>
          <w:lang w:val="en-US" w:eastAsia="zh-CN"/>
          <w:highlight w:val="auto"/>
        </w:rPr>
      </w:pPr>
      <w:r>
        <w:rPr>
          <w:rFonts w:ascii="黑体" w:eastAsia="黑体" w:cs="黑体" w:hAnsi="黑体" w:hint="eastAsia"/>
          <w:b w:val="0"/>
          <w:bCs w:val="0"/>
          <w:i w:val="0"/>
          <w:caps w:val="0"/>
          <w:smallCaps w:val="0"/>
          <w:color w:val="000000"/>
          <w:spacing w:val="0"/>
          <w:kern w:val="0"/>
          <w:sz w:val="32"/>
          <w:szCs w:val="32"/>
          <w:shd w:val="clear" w:color="auto" w:fill="FFFFFF"/>
          <w14:textFill>
            <w14:solidFill>
              <w14:srgbClr w14:val="000000"/>
            </w14:solidFill>
          </w14:textFill>
          <w:lang w:val="en-US" w:eastAsia="zh-CN"/>
          <w:highlight w:val="auto"/>
        </w:rPr>
        <w:t>部门收入总表</w:t>
      </w:r>
    </w:p>
    <w:p>
      <w:pPr>
        <w:numPr>
          <w:ilvl w:val="0"/>
          <w:numId w:val="1"/>
        </w:numPr>
        <w:ind w:left="160" w:firstLine="0"/>
        <w:jc w:val="both"/>
        <w:rPr>
          <w:rFonts w:ascii="黑体" w:eastAsia="黑体" w:cs="黑体" w:hAnsi="黑体" w:hint="eastAsia"/>
          <w:b w:val="0"/>
          <w:bCs w:val="0"/>
          <w:i w:val="0"/>
          <w:caps w:val="0"/>
          <w:smallCaps w:val="0"/>
          <w:color w:val="000000"/>
          <w:spacing w:val="0"/>
          <w:kern w:val="0"/>
          <w:sz w:val="32"/>
          <w:szCs w:val="32"/>
          <w:shd w:val="clear" w:color="auto" w:fill="FFFFFF"/>
          <w14:textFill>
            <w14:solidFill>
              <w14:srgbClr w14:val="000000"/>
            </w14:solidFill>
          </w14:textFill>
          <w:lang w:val="en-US" w:eastAsia="zh-CN"/>
          <w:highlight w:val="auto"/>
        </w:rPr>
      </w:pPr>
      <w:r>
        <w:rPr>
          <w:rFonts w:ascii="黑体" w:eastAsia="黑体" w:cs="黑体" w:hAnsi="黑体" w:hint="eastAsia"/>
          <w:b w:val="0"/>
          <w:bCs w:val="0"/>
          <w:i w:val="0"/>
          <w:caps w:val="0"/>
          <w:smallCaps w:val="0"/>
          <w:color w:val="000000"/>
          <w:spacing w:val="0"/>
          <w:kern w:val="0"/>
          <w:sz w:val="32"/>
          <w:szCs w:val="32"/>
          <w:shd w:val="clear" w:color="auto" w:fill="FFFFFF"/>
          <w14:textFill>
            <w14:solidFill>
              <w14:srgbClr w14:val="000000"/>
            </w14:solidFill>
          </w14:textFill>
          <w:lang w:val="en-US" w:eastAsia="zh-CN"/>
          <w:highlight w:val="auto"/>
        </w:rPr>
        <w:t xml:space="preserve">部门支出总表 </w:t>
      </w:r>
    </w:p>
    <w:p>
      <w:pPr>
        <w:numPr>
          <w:ilvl w:val="0"/>
          <w:numId w:val="1"/>
        </w:numPr>
        <w:ind w:left="160" w:firstLine="0"/>
        <w:jc w:val="both"/>
        <w:rPr>
          <w:rFonts w:ascii="黑体" w:eastAsia="黑体" w:cs="黑体" w:hAnsi="黑体" w:hint="eastAsia"/>
          <w:b w:val="0"/>
          <w:bCs w:val="0"/>
          <w:i w:val="0"/>
          <w:caps w:val="0"/>
          <w:smallCaps w:val="0"/>
          <w:color w:val="000000"/>
          <w:spacing w:val="0"/>
          <w:kern w:val="0"/>
          <w:sz w:val="32"/>
          <w:szCs w:val="32"/>
          <w:shd w:val="clear" w:color="auto" w:fill="FFFFFF"/>
          <w14:textFill>
            <w14:solidFill>
              <w14:srgbClr w14:val="000000"/>
            </w14:solidFill>
          </w14:textFill>
          <w:lang w:val="en-US" w:eastAsia="zh-CN"/>
          <w:highlight w:val="auto"/>
        </w:rPr>
      </w:pPr>
      <w:r>
        <w:rPr>
          <w:rFonts w:ascii="黑体" w:eastAsia="黑体" w:cs="黑体" w:hAnsi="黑体" w:hint="eastAsia"/>
          <w:b w:val="0"/>
          <w:bCs w:val="0"/>
          <w:i w:val="0"/>
          <w:caps w:val="0"/>
          <w:smallCaps w:val="0"/>
          <w:color w:val="000000"/>
          <w:spacing w:val="0"/>
          <w:kern w:val="0"/>
          <w:sz w:val="32"/>
          <w:szCs w:val="32"/>
          <w:shd w:val="clear" w:color="auto" w:fill="FFFFFF"/>
          <w14:textFill>
            <w14:solidFill>
              <w14:srgbClr w14:val="000000"/>
            </w14:solidFill>
          </w14:textFill>
          <w:lang w:val="en-US" w:eastAsia="zh-CN"/>
          <w:highlight w:val="auto"/>
        </w:rPr>
        <w:t>财政拨款收支预算总表</w:t>
      </w:r>
    </w:p>
    <w:p>
      <w:pPr>
        <w:numPr>
          <w:ilvl w:val="0"/>
          <w:numId w:val="1"/>
        </w:numPr>
        <w:ind w:left="160" w:firstLine="0"/>
        <w:jc w:val="both"/>
        <w:rPr>
          <w:rFonts w:ascii="黑体" w:eastAsia="黑体" w:cs="黑体" w:hAnsi="黑体" w:hint="eastAsia"/>
          <w:b w:val="0"/>
          <w:bCs w:val="0"/>
          <w:i w:val="0"/>
          <w:caps w:val="0"/>
          <w:smallCaps w:val="0"/>
          <w:color w:val="000000"/>
          <w:spacing w:val="0"/>
          <w:kern w:val="0"/>
          <w:sz w:val="32"/>
          <w:szCs w:val="32"/>
          <w:shd w:val="clear" w:color="auto" w:fill="FFFFFF"/>
          <w14:textFill>
            <w14:solidFill>
              <w14:srgbClr w14:val="000000"/>
            </w14:solidFill>
          </w14:textFill>
          <w:lang w:val="en-US" w:eastAsia="zh-CN"/>
          <w:highlight w:val="auto"/>
        </w:rPr>
      </w:pPr>
      <w:r>
        <w:rPr>
          <w:rFonts w:ascii="黑体" w:eastAsia="黑体" w:cs="黑体" w:hAnsi="黑体" w:hint="eastAsia"/>
          <w:b w:val="0"/>
          <w:bCs w:val="0"/>
          <w:i w:val="0"/>
          <w:caps w:val="0"/>
          <w:smallCaps w:val="0"/>
          <w:color w:val="000000"/>
          <w:spacing w:val="0"/>
          <w:kern w:val="0"/>
          <w:sz w:val="32"/>
          <w:szCs w:val="32"/>
          <w:shd w:val="clear" w:color="auto" w:fill="FFFFFF"/>
          <w14:textFill>
            <w14:solidFill>
              <w14:srgbClr w14:val="000000"/>
            </w14:solidFill>
          </w14:textFill>
          <w:lang w:val="en-US" w:eastAsia="zh-CN"/>
          <w:highlight w:val="auto"/>
        </w:rPr>
        <w:t>财政拨款支出预算表（部门经济分类科目）</w:t>
      </w:r>
    </w:p>
    <w:p>
      <w:pPr>
        <w:numPr>
          <w:ilvl w:val="0"/>
          <w:numId w:val="1"/>
        </w:numPr>
        <w:ind w:left="160" w:firstLine="0"/>
        <w:jc w:val="both"/>
        <w:rPr>
          <w:rFonts w:ascii="黑体" w:eastAsia="黑体" w:cs="黑体" w:hAnsi="黑体" w:hint="eastAsia"/>
          <w:b w:val="0"/>
          <w:bCs w:val="0"/>
          <w:i w:val="0"/>
          <w:caps w:val="0"/>
          <w:smallCaps w:val="0"/>
          <w:color w:val="000000"/>
          <w:spacing w:val="0"/>
          <w:kern w:val="0"/>
          <w:sz w:val="32"/>
          <w:szCs w:val="32"/>
          <w:shd w:val="clear" w:color="auto" w:fill="FFFFFF"/>
          <w14:textFill>
            <w14:solidFill>
              <w14:srgbClr w14:val="000000"/>
            </w14:solidFill>
          </w14:textFill>
          <w:lang w:val="en-US" w:eastAsia="zh-CN"/>
          <w:highlight w:val="auto"/>
        </w:rPr>
      </w:pPr>
      <w:r>
        <w:rPr>
          <w:rFonts w:ascii="黑体" w:eastAsia="黑体" w:cs="黑体" w:hAnsi="黑体" w:hint="eastAsia"/>
          <w:b w:val="0"/>
          <w:bCs w:val="0"/>
          <w:i w:val="0"/>
          <w:caps w:val="0"/>
          <w:smallCaps w:val="0"/>
          <w:color w:val="000000"/>
          <w:spacing w:val="0"/>
          <w:kern w:val="0"/>
          <w:sz w:val="32"/>
          <w:szCs w:val="32"/>
          <w:shd w:val="clear" w:color="auto" w:fill="FFFFFF"/>
          <w14:textFill>
            <w14:solidFill>
              <w14:srgbClr w14:val="000000"/>
            </w14:solidFill>
          </w14:textFill>
          <w:lang w:val="en-US" w:eastAsia="zh-CN"/>
          <w:highlight w:val="auto"/>
        </w:rPr>
        <w:t>一般公共预算支出预算表</w:t>
      </w:r>
    </w:p>
    <w:p>
      <w:pPr>
        <w:numPr>
          <w:ilvl w:val="0"/>
          <w:numId w:val="1"/>
        </w:numPr>
        <w:ind w:left="160" w:firstLine="0"/>
        <w:jc w:val="both"/>
        <w:rPr>
          <w:rFonts w:ascii="黑体" w:eastAsia="黑体" w:cs="黑体" w:hAnsi="黑体" w:hint="eastAsia"/>
          <w:b w:val="0"/>
          <w:bCs w:val="0"/>
          <w:i w:val="0"/>
          <w:caps w:val="0"/>
          <w:smallCaps w:val="0"/>
          <w:color w:val="000000"/>
          <w:spacing w:val="0"/>
          <w:kern w:val="0"/>
          <w:sz w:val="32"/>
          <w:szCs w:val="32"/>
          <w:shd w:val="clear" w:color="auto" w:fill="FFFFFF"/>
          <w14:textFill>
            <w14:solidFill>
              <w14:srgbClr w14:val="000000"/>
            </w14:solidFill>
          </w14:textFill>
          <w:lang w:val="en-US" w:eastAsia="zh-CN"/>
          <w:highlight w:val="auto"/>
        </w:rPr>
      </w:pPr>
      <w:r>
        <w:rPr>
          <w:rFonts w:ascii="黑体" w:eastAsia="黑体" w:cs="黑体" w:hAnsi="黑体" w:hint="eastAsia"/>
          <w:b w:val="0"/>
          <w:bCs w:val="0"/>
          <w:i w:val="0"/>
          <w:caps w:val="0"/>
          <w:smallCaps w:val="0"/>
          <w:color w:val="000000"/>
          <w:spacing w:val="0"/>
          <w:kern w:val="0"/>
          <w:sz w:val="32"/>
          <w:szCs w:val="32"/>
          <w:shd w:val="clear" w:color="auto" w:fill="FFFFFF"/>
          <w14:textFill>
            <w14:solidFill>
              <w14:srgbClr w14:val="000000"/>
            </w14:solidFill>
          </w14:textFill>
          <w:lang w:val="en-US" w:eastAsia="zh-CN"/>
          <w:highlight w:val="auto"/>
        </w:rPr>
        <w:t xml:space="preserve">一般公共预算基本支出预算表 </w:t>
      </w:r>
    </w:p>
    <w:p>
      <w:pPr>
        <w:numPr>
          <w:ilvl w:val="0"/>
          <w:numId w:val="1"/>
        </w:numPr>
        <w:ind w:left="160" w:firstLine="0"/>
        <w:jc w:val="both"/>
        <w:rPr>
          <w:rFonts w:ascii="黑体" w:eastAsia="黑体" w:cs="黑体" w:hAnsi="黑体" w:hint="eastAsia"/>
          <w:b w:val="0"/>
          <w:bCs w:val="0"/>
          <w:i w:val="0"/>
          <w:caps w:val="0"/>
          <w:smallCaps w:val="0"/>
          <w:color w:val="000000"/>
          <w:spacing w:val="0"/>
          <w:kern w:val="0"/>
          <w:sz w:val="32"/>
          <w:szCs w:val="32"/>
          <w:shd w:val="clear" w:color="auto" w:fill="FFFFFF"/>
          <w14:textFill>
            <w14:solidFill>
              <w14:srgbClr w14:val="000000"/>
            </w14:solidFill>
          </w14:textFill>
          <w:lang w:val="en-US" w:eastAsia="zh-CN"/>
          <w:highlight w:val="auto"/>
        </w:rPr>
      </w:pPr>
      <w:r>
        <w:rPr>
          <w:rFonts w:ascii="黑体" w:eastAsia="黑体" w:cs="黑体" w:hAnsi="黑体" w:hint="eastAsia"/>
          <w:b w:val="0"/>
          <w:bCs w:val="0"/>
          <w:i w:val="0"/>
          <w:caps w:val="0"/>
          <w:smallCaps w:val="0"/>
          <w:color w:val="000000"/>
          <w:spacing w:val="0"/>
          <w:kern w:val="0"/>
          <w:sz w:val="32"/>
          <w:szCs w:val="32"/>
          <w:shd w:val="clear" w:color="auto" w:fill="FFFFFF"/>
          <w14:textFill>
            <w14:solidFill>
              <w14:srgbClr w14:val="000000"/>
            </w14:solidFill>
          </w14:textFill>
          <w:lang w:val="en-US" w:eastAsia="zh-CN"/>
          <w:highlight w:val="auto"/>
        </w:rPr>
        <w:t xml:space="preserve">一般公共预算项目支出预算表 </w:t>
      </w:r>
    </w:p>
    <w:p>
      <w:pPr>
        <w:numPr>
          <w:ilvl w:val="0"/>
          <w:numId w:val="1"/>
        </w:numPr>
        <w:ind w:left="160" w:firstLine="0"/>
        <w:jc w:val="both"/>
        <w:rPr>
          <w:rFonts w:ascii="黑体" w:eastAsia="黑体" w:cs="黑体" w:hAnsi="黑体" w:hint="eastAsia"/>
          <w:b w:val="0"/>
          <w:bCs w:val="0"/>
          <w:i w:val="0"/>
          <w:caps w:val="0"/>
          <w:smallCaps w:val="0"/>
          <w:color w:val="000000"/>
          <w:spacing w:val="0"/>
          <w:kern w:val="0"/>
          <w:sz w:val="32"/>
          <w:szCs w:val="32"/>
          <w:shd w:val="clear" w:color="auto" w:fill="FFFFFF"/>
          <w14:textFill>
            <w14:solidFill>
              <w14:srgbClr w14:val="000000"/>
            </w14:solidFill>
          </w14:textFill>
          <w:lang w:val="en-US" w:eastAsia="zh-CN"/>
          <w:highlight w:val="auto"/>
        </w:rPr>
      </w:pPr>
      <w:r>
        <w:rPr>
          <w:rFonts w:ascii="黑体" w:eastAsia="黑体" w:cs="黑体" w:hAnsi="黑体" w:hint="eastAsia"/>
          <w:b w:val="0"/>
          <w:bCs w:val="0"/>
          <w:i w:val="0"/>
          <w:caps w:val="0"/>
          <w:smallCaps w:val="0"/>
          <w:color w:val="000000"/>
          <w:spacing w:val="0"/>
          <w:kern w:val="0"/>
          <w:sz w:val="32"/>
          <w:szCs w:val="32"/>
          <w:shd w:val="clear" w:color="auto" w:fill="FFFFFF"/>
          <w14:textFill>
            <w14:solidFill>
              <w14:srgbClr w14:val="000000"/>
            </w14:solidFill>
          </w14:textFill>
          <w:lang w:val="en-US" w:eastAsia="zh-CN"/>
          <w:highlight w:val="auto"/>
        </w:rPr>
        <w:t xml:space="preserve">一般公共预算“三公”经费支出预算表 </w:t>
      </w:r>
    </w:p>
    <w:p>
      <w:pPr>
        <w:numPr>
          <w:ilvl w:val="0"/>
          <w:numId w:val="1"/>
        </w:numPr>
        <w:ind w:left="160" w:firstLine="0"/>
        <w:jc w:val="both"/>
        <w:rPr>
          <w:rFonts w:ascii="黑体" w:eastAsia="黑体" w:cs="黑体" w:hAnsi="黑体" w:hint="eastAsia"/>
          <w:b w:val="0"/>
          <w:bCs w:val="0"/>
          <w:i w:val="0"/>
          <w:caps w:val="0"/>
          <w:smallCaps w:val="0"/>
          <w:color w:val="000000"/>
          <w:spacing w:val="0"/>
          <w:kern w:val="0"/>
          <w:sz w:val="32"/>
          <w:szCs w:val="32"/>
          <w:shd w:val="clear" w:color="auto" w:fill="FFFFFF"/>
          <w14:textFill>
            <w14:solidFill>
              <w14:srgbClr w14:val="000000"/>
            </w14:solidFill>
          </w14:textFill>
          <w:lang w:val="en-US" w:eastAsia="zh-CN"/>
          <w:highlight w:val="auto"/>
        </w:rPr>
      </w:pPr>
      <w:r>
        <w:rPr>
          <w:rFonts w:ascii="黑体" w:eastAsia="黑体" w:cs="黑体" w:hAnsi="黑体" w:hint="eastAsia"/>
          <w:b w:val="0"/>
          <w:bCs w:val="0"/>
          <w:i w:val="0"/>
          <w:caps w:val="0"/>
          <w:smallCaps w:val="0"/>
          <w:color w:val="000000"/>
          <w:spacing w:val="0"/>
          <w:kern w:val="0"/>
          <w:sz w:val="32"/>
          <w:szCs w:val="32"/>
          <w:shd w:val="clear" w:color="auto" w:fill="FFFFFF"/>
          <w14:textFill>
            <w14:solidFill>
              <w14:srgbClr w14:val="000000"/>
            </w14:solidFill>
          </w14:textFill>
          <w:lang w:val="en-US" w:eastAsia="zh-CN"/>
          <w:highlight w:val="auto"/>
        </w:rPr>
        <w:t xml:space="preserve">政府性基金预算支出预算表 </w:t>
      </w:r>
    </w:p>
    <w:p>
      <w:pPr>
        <w:numPr>
          <w:ilvl w:val="0"/>
          <w:numId w:val="1"/>
        </w:numPr>
        <w:ind w:left="160" w:firstLine="0"/>
        <w:jc w:val="both"/>
        <w:rPr>
          <w:rFonts w:ascii="黑体" w:eastAsia="黑体" w:cs="黑体" w:hAnsi="黑体" w:hint="eastAsia"/>
          <w:b w:val="0"/>
          <w:bCs w:val="0"/>
          <w:i w:val="0"/>
          <w:caps w:val="0"/>
          <w:smallCaps w:val="0"/>
          <w:color w:val="000000"/>
          <w:spacing w:val="0"/>
          <w:kern w:val="0"/>
          <w:sz w:val="32"/>
          <w:szCs w:val="32"/>
          <w:shd w:val="clear" w:color="auto" w:fill="FFFFFF"/>
          <w14:textFill>
            <w14:solidFill>
              <w14:srgbClr w14:val="000000"/>
            </w14:solidFill>
          </w14:textFill>
          <w:lang w:val="en-US" w:eastAsia="zh-CN"/>
          <w:highlight w:val="auto"/>
        </w:rPr>
      </w:pPr>
      <w:r>
        <w:rPr>
          <w:rFonts w:ascii="黑体" w:eastAsia="黑体" w:cs="黑体" w:hAnsi="黑体" w:hint="eastAsia"/>
          <w:b w:val="0"/>
          <w:bCs w:val="0"/>
          <w:i w:val="0"/>
          <w:caps w:val="0"/>
          <w:smallCaps w:val="0"/>
          <w:color w:val="000000"/>
          <w:spacing w:val="0"/>
          <w:kern w:val="0"/>
          <w:sz w:val="32"/>
          <w:szCs w:val="32"/>
          <w:shd w:val="clear" w:color="auto" w:fill="FFFFFF"/>
          <w14:textFill>
            <w14:solidFill>
              <w14:srgbClr w14:val="000000"/>
            </w14:solidFill>
          </w14:textFill>
          <w:lang w:val="en-US" w:eastAsia="zh-CN"/>
          <w:highlight w:val="auto"/>
        </w:rPr>
        <w:t xml:space="preserve">政府性基金预算“三公”经费支出预算表 </w:t>
      </w:r>
    </w:p>
    <w:p>
      <w:pPr>
        <w:numPr>
          <w:ilvl w:val="0"/>
          <w:numId w:val="1"/>
        </w:numPr>
        <w:ind w:left="160" w:firstLine="0"/>
        <w:jc w:val="both"/>
        <w:rPr>
          <w:rFonts w:ascii="黑体" w:eastAsia="黑体" w:cs="黑体" w:hAnsi="黑体" w:hint="eastAsia"/>
          <w:b w:val="0"/>
          <w:bCs w:val="0"/>
          <w:i w:val="0"/>
          <w:caps w:val="0"/>
          <w:smallCaps w:val="0"/>
          <w:color w:val="000000"/>
          <w:spacing w:val="0"/>
          <w:kern w:val="0"/>
          <w:sz w:val="32"/>
          <w:szCs w:val="32"/>
          <w:shd w:val="clear" w:color="auto" w:fill="FFFFFF"/>
          <w14:textFill>
            <w14:solidFill>
              <w14:srgbClr w14:val="000000"/>
            </w14:solidFill>
          </w14:textFill>
          <w:lang w:val="en-US" w:eastAsia="zh-CN"/>
          <w:highlight w:val="auto"/>
        </w:rPr>
      </w:pPr>
      <w:r>
        <w:rPr>
          <w:rFonts w:ascii="黑体" w:eastAsia="黑体" w:cs="黑体" w:hAnsi="黑体" w:hint="eastAsia"/>
          <w:b w:val="0"/>
          <w:bCs w:val="0"/>
          <w:i w:val="0"/>
          <w:caps w:val="0"/>
          <w:smallCaps w:val="0"/>
          <w:color w:val="000000"/>
          <w:spacing w:val="0"/>
          <w:kern w:val="0"/>
          <w:sz w:val="32"/>
          <w:szCs w:val="32"/>
          <w:shd w:val="clear" w:color="auto" w:fill="FFFFFF"/>
          <w14:textFill>
            <w14:solidFill>
              <w14:srgbClr w14:val="000000"/>
            </w14:solidFill>
          </w14:textFill>
          <w:lang w:val="en-US" w:eastAsia="zh-CN"/>
          <w:highlight w:val="auto"/>
        </w:rPr>
        <w:t xml:space="preserve">国有资本经营预算支出预算表 </w:t>
      </w:r>
    </w:p>
    <w:p>
      <w:pPr>
        <w:numPr>
          <w:ilvl w:val="0"/>
          <w:numId w:val="1"/>
        </w:numPr>
        <w:ind w:left="160" w:firstLine="0"/>
        <w:jc w:val="both"/>
        <w:rPr>
          <w:rFonts w:ascii="黑体" w:eastAsia="黑体" w:cs="黑体" w:hAnsi="黑体" w:hint="eastAsia"/>
          <w:b w:val="0"/>
          <w:bCs w:val="0"/>
          <w:i w:val="0"/>
          <w:caps w:val="0"/>
          <w:smallCaps w:val="0"/>
          <w:color w:val="000000"/>
          <w:spacing w:val="0"/>
          <w:kern w:val="0"/>
          <w:sz w:val="32"/>
          <w:szCs w:val="32"/>
          <w:shd w:val="clear" w:color="auto" w:fill="FFFFFF"/>
          <w14:textFill>
            <w14:solidFill>
              <w14:srgbClr w14:val="000000"/>
            </w14:solidFill>
          </w14:textFill>
          <w:lang w:val="en-US" w:eastAsia="zh-CN"/>
          <w:highlight w:val="auto"/>
        </w:rPr>
      </w:pPr>
      <w:r>
        <w:rPr>
          <w:rFonts w:ascii="黑体" w:eastAsia="黑体" w:cs="黑体" w:hAnsi="黑体" w:hint="eastAsia"/>
          <w:b w:val="0"/>
          <w:bCs w:val="0"/>
          <w:i w:val="0"/>
          <w:caps w:val="0"/>
          <w:smallCaps w:val="0"/>
          <w:color w:val="000000"/>
          <w:spacing w:val="0"/>
          <w:kern w:val="0"/>
          <w:sz w:val="32"/>
          <w:szCs w:val="32"/>
          <w:shd w:val="clear" w:color="auto" w:fill="FFFFFF"/>
          <w14:textFill>
            <w14:solidFill>
              <w14:srgbClr w14:val="000000"/>
            </w14:solidFill>
          </w14:textFill>
          <w:lang w:val="en-US" w:eastAsia="zh-CN"/>
          <w:highlight w:val="auto"/>
        </w:rPr>
        <w:t xml:space="preserve">部门预算项目支出绩效目标表 </w:t>
      </w:r>
    </w:p>
    <w:p>
      <w:pPr>
        <w:pStyle w:val="23"/>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130" w:beforeAutospacing="0" w:after="0" w:afterAutospacing="0" w:line="580" w:lineRule="atLeast"/>
        <w:ind w:left="0" w:right="0" w:firstLineChars="200" w:firstLine="560"/>
        <w:jc w:val="both"/>
        <w:rPr>
          <w:rFonts w:ascii="宋体" w:eastAsia="宋体" w:cs="宋体" w:hAnsi="宋体" w:hint="eastAsia"/>
          <w:i w:val="0"/>
          <w:caps w:val="0"/>
          <w:smallCaps w:val="0"/>
          <w:color w:val="000000"/>
          <w:spacing w:val="0"/>
          <w:kern w:val="0"/>
          <w:sz w:val="28"/>
          <w:szCs w:val="28"/>
          <w:shd w:val="clear" w:color="auto" w:fill="FFFFFF"/>
          <w:lang w:val="en-US" w:eastAsia="zh-CN"/>
          <w:highlight w:val="auto"/>
        </w:rPr>
      </w:pPr>
    </w:p>
    <w:p>
      <w:pPr>
        <w:pStyle w:val="23"/>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130" w:beforeAutospacing="0" w:after="0" w:afterAutospacing="0" w:line="580" w:lineRule="atLeast"/>
        <w:ind w:left="0" w:right="0" w:firstLineChars="200" w:firstLine="560"/>
        <w:jc w:val="both"/>
        <w:rPr>
          <w:rFonts w:ascii="宋体" w:eastAsia="宋体" w:cs="宋体" w:hAnsi="宋体" w:hint="eastAsia"/>
          <w:i w:val="0"/>
          <w:caps w:val="0"/>
          <w:smallCaps w:val="0"/>
          <w:color w:val="000000"/>
          <w:spacing w:val="0"/>
          <w:kern w:val="0"/>
          <w:sz w:val="28"/>
          <w:szCs w:val="28"/>
          <w:shd w:val="clear" w:color="auto" w:fill="FFFFFF"/>
          <w:lang w:val="en-US" w:eastAsia="zh-CN"/>
          <w:highlight w:val="auto"/>
        </w:rPr>
      </w:pPr>
    </w:p>
    <w:p>
      <w:pPr>
        <w:pStyle w:val="23"/>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130" w:beforeAutospacing="0" w:after="0" w:afterAutospacing="0" w:line="580" w:lineRule="atLeast"/>
        <w:ind w:left="0" w:right="0" w:firstLineChars="200" w:firstLine="560"/>
        <w:jc w:val="both"/>
        <w:rPr>
          <w:rFonts w:ascii="宋体" w:eastAsia="宋体" w:cs="宋体" w:hAnsi="宋体" w:hint="eastAsia"/>
          <w:i w:val="0"/>
          <w:caps w:val="0"/>
          <w:smallCaps w:val="0"/>
          <w:color w:val="000000"/>
          <w:spacing w:val="0"/>
          <w:kern w:val="0"/>
          <w:sz w:val="28"/>
          <w:szCs w:val="28"/>
          <w:shd w:val="clear" w:color="auto" w:fill="FFFFFF"/>
          <w:lang w:val="en-US" w:eastAsia="zh-CN"/>
          <w:highlight w:val="auto"/>
        </w:rPr>
      </w:pPr>
    </w:p>
    <w:p>
      <w:pPr>
        <w:pStyle w:val="23"/>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130" w:beforeAutospacing="0" w:after="0" w:afterAutospacing="0" w:line="580" w:lineRule="atLeast"/>
        <w:ind w:left="0" w:right="0" w:firstLineChars="200" w:firstLine="560"/>
        <w:jc w:val="both"/>
        <w:rPr>
          <w:rFonts w:ascii="宋体" w:eastAsia="宋体" w:cs="宋体" w:hAnsi="宋体" w:hint="eastAsia"/>
          <w:i w:val="0"/>
          <w:caps w:val="0"/>
          <w:smallCaps w:val="0"/>
          <w:color w:val="000000"/>
          <w:spacing w:val="0"/>
          <w:kern w:val="0"/>
          <w:sz w:val="28"/>
          <w:szCs w:val="28"/>
          <w:shd w:val="clear" w:color="auto" w:fill="FFFFFF"/>
          <w:lang w:val="en-US" w:eastAsia="zh-CN"/>
          <w:highlight w:val="auto"/>
        </w:rPr>
      </w:pPr>
    </w:p>
    <w:p>
      <w:pPr>
        <w:pStyle w:val="23"/>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130" w:beforeAutospacing="0" w:after="0" w:afterAutospacing="0" w:line="580" w:lineRule="atLeast"/>
        <w:ind w:left="0" w:right="0" w:firstLineChars="200" w:firstLine="560"/>
        <w:jc w:val="both"/>
        <w:rPr>
          <w:rFonts w:ascii="宋体" w:eastAsia="宋体" w:cs="宋体" w:hAnsi="宋体" w:hint="eastAsia"/>
          <w:i w:val="0"/>
          <w:caps w:val="0"/>
          <w:smallCaps w:val="0"/>
          <w:color w:val="000000"/>
          <w:spacing w:val="0"/>
          <w:kern w:val="0"/>
          <w:sz w:val="28"/>
          <w:szCs w:val="28"/>
          <w:shd w:val="clear" w:color="auto" w:fill="FFFFFF"/>
          <w:lang w:val="en-US" w:eastAsia="zh-CN"/>
          <w:highlight w:val="auto"/>
        </w:rPr>
      </w:pPr>
    </w:p>
    <w:p>
      <w:pPr>
        <w:pStyle w:val="23"/>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130" w:beforeAutospacing="0" w:after="0" w:afterAutospacing="0" w:line="580" w:lineRule="atLeast"/>
        <w:ind w:left="0" w:right="0" w:firstLineChars="200" w:firstLine="560"/>
        <w:jc w:val="both"/>
        <w:rPr>
          <w:rFonts w:ascii="宋体" w:eastAsia="宋体" w:cs="宋体" w:hAnsi="宋体" w:hint="eastAsia"/>
          <w:i w:val="0"/>
          <w:caps w:val="0"/>
          <w:smallCaps w:val="0"/>
          <w:color w:val="000000"/>
          <w:spacing w:val="0"/>
          <w:kern w:val="0"/>
          <w:sz w:val="28"/>
          <w:szCs w:val="28"/>
          <w:shd w:val="clear" w:color="auto" w:fill="FFFFFF"/>
          <w:lang w:val="en-US" w:eastAsia="zh-CN"/>
          <w:highlight w:val="auto"/>
        </w:rPr>
      </w:pPr>
    </w:p>
    <w:p>
      <w:pPr>
        <w:keepNext w:val="0"/>
        <w:keepLines/>
        <w:pageBreakBefore/>
        <w:widowControl/>
        <w:numPr>
          <w:ilvl w:val="0"/>
          <w:numId w:val="2"/>
        </w:numPr>
        <w:suppressLineNumbers w:val="0"/>
        <w:pBdr>
          <w:top w:val="none" w:sz="0" w:space="0" w:color="auto"/>
          <w:left w:val="none" w:sz="0" w:space="0" w:color="auto"/>
          <w:bottom w:val="none" w:sz="0" w:space="0" w:color="auto"/>
          <w:right w:val="none" w:sz="0" w:space="0" w:color="auto"/>
        </w:pBdr>
        <w:shd w:val="clear" w:color="auto" w:fill="FFFFFF"/>
        <w:suppressAutoHyphens/>
        <w:kinsoku/>
        <w:wordWrap/>
        <w:overflowPunct/>
        <w:topLinePunct w:val="0"/>
        <w:autoSpaceDE/>
        <w:autoSpaceDN/>
        <w:bidi w:val="0"/>
        <w:adjustRightInd/>
        <w:snapToGrid/>
        <w:spacing w:before="0" w:beforeAutospacing="0" w:after="0" w:afterAutospacing="0" w:line="580" w:lineRule="atLeast"/>
        <w:ind w:left="0" w:right="0" w:firstLine="0"/>
        <w:jc w:val="center"/>
        <w:textAlignment w:val="auto"/>
        <w:rPr>
          <w:rFonts w:ascii="方正小标宋简体" w:eastAsia="方正小标宋简体" w:cs="方正小标宋简体" w:hAnsi="方正小标宋简体" w:hint="eastAsia"/>
          <w:b w:val="0"/>
          <w:bCs w:val="0"/>
          <w:i w:val="0"/>
          <w:caps w:val="0"/>
          <w:smallCaps w:val="0"/>
          <w:color w:val="000000"/>
          <w:spacing w:val="0"/>
          <w:kern w:val="0"/>
          <w:sz w:val="44"/>
          <w:szCs w:val="44"/>
          <w:shd w:val="clear" w:color="auto" w:fill="FFFFFF"/>
          <w:lang w:val="en-US" w:eastAsia="zh-CN"/>
          <w:highlight w:val="auto"/>
        </w:rPr>
        <w:sectPr>
          <w:pgSz w:w="11906" w:h="16838"/>
          <w:pgMar w:top="2098" w:right="1474" w:bottom="1984" w:left="1587" w:header="720" w:footer="1559" w:gutter="0"/>
          <w:cols w:num="1" w:space="0"/>
          <w:rtlGutter/>
          <w:docGrid w:type="lines" w:linePitch="312" w:charSpace="0"/>
        </w:sectPr>
      </w:pPr>
    </w:p>
    <w:p>
      <w:pPr>
        <w:pStyle w:val="1"/>
        <w:keepNext/>
        <w:keepLines/>
        <w:pageBreakBefore w:val="0"/>
        <w:widowControl w:val="0"/>
        <w:suppressLineNumbers w:val="0"/>
        <w:pBdr>
          <w:top w:val="none" w:sz="0" w:space="0" w:color="auto"/>
          <w:left w:val="none" w:sz="0" w:space="0" w:color="auto"/>
          <w:bottom w:val="none" w:sz="0" w:space="0" w:color="auto"/>
          <w:right w:val="none" w:sz="0" w:space="0" w:color="auto"/>
        </w:pBdr>
        <w:suppressAutoHyphens/>
        <w:bidi w:val="0"/>
        <w:rPr>
          <w:rFonts w:hint="eastAsia"/>
          <w:b w:val="0"/>
          <w:bCs w:val="0"/>
        </w:rPr>
      </w:pPr>
      <w:bookmarkStart w:id="0" w:name="_Toc32276837"/>
      <w:r>
        <w:rPr>
          <w:b w:val="0"/>
          <w:bCs w:val="0"/>
        </w:rPr>
        <w:t xml:space="preserve">第一部分 </w:t>
      </w:r>
      <w:r>
        <w:rPr>
          <w:rFonts w:hint="eastAsia"/>
          <w:b w:val="0"/>
          <w:bCs w:val="0"/>
        </w:rPr>
        <w:t>广元石窟研究所单位概况</w:t>
      </w:r>
      <w:bookmarkEnd w:id="0"/>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黑体" w:eastAsia="黑体" w:cs="黑体" w:hAnsi="黑体"/>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黑体" w:eastAsia="黑体" w:cs="黑体" w:hAnsi="黑体" w:hint="eastAsia"/>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黑体" w:eastAsia="黑体" w:cs="黑体" w:hAnsi="黑体" w:hint="eastAsia"/>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黑体" w:eastAsia="黑体" w:cs="黑体" w:hAnsi="黑体" w:hint="eastAsia"/>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黑体" w:eastAsia="黑体" w:cs="黑体" w:hAnsi="黑体" w:hint="eastAsia"/>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黑体" w:eastAsia="黑体" w:cs="黑体" w:hAnsi="黑体" w:hint="eastAsia"/>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黑体" w:eastAsia="黑体" w:cs="黑体" w:hAnsi="黑体" w:hint="eastAsia"/>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黑体" w:eastAsia="黑体" w:cs="黑体" w:hAnsi="黑体" w:hint="eastAsia"/>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textAlignment w:val="auto"/>
        <w:rPr>
          <w:rFonts w:ascii="黑体" w:eastAsia="黑体" w:cs="黑体" w:hAnsi="黑体" w:hint="eastAsia"/>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黑体" w:eastAsia="黑体" w:cs="黑体" w:hAnsi="黑体" w:hint="eastAsia"/>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黑体" w:eastAsia="黑体" w:cs="黑体" w:hAnsi="黑体" w:hint="eastAsia"/>
          <w:sz w:val="32"/>
          <w:szCs w:val="32"/>
          <w:lang w:val="en-US" w:eastAsia="zh-CN"/>
        </w:rPr>
        <w:sectPr>
          <w:type w:val="continuous"/>
          <w:pgSz w:w="11906" w:h="16838"/>
          <w:pgMar w:top="2098" w:right="1474" w:bottom="1984" w:left="1587" w:header="720" w:footer="1559" w:gutter="0"/>
          <w:cols w:num="1" w:space="0"/>
          <w:rtlGutter/>
          <w:docGrid w:type="lines" w:linePitch="312" w:charSpace="0"/>
        </w:sectPr>
      </w:pPr>
    </w:p>
    <w:p>
      <w:pPr>
        <w:pStyle w:val="2"/>
        <w:keepNext/>
        <w:keepLines/>
        <w:pageBreakBefore w:val="0"/>
        <w:widowControl w:val="0"/>
        <w:suppressLineNumbers w:val="0"/>
        <w:suppressAutoHyphens/>
        <w:kinsoku/>
        <w:wordWrap/>
        <w:overflowPunct/>
        <w:topLinePunct w:val="0"/>
        <w:autoSpaceDN/>
        <w:bidi w:val="0"/>
        <w:adjustRightInd/>
        <w:snapToGrid/>
        <w:spacing w:before="0" w:after="0" w:line="576" w:lineRule="exact"/>
        <w:textAlignment w:val="auto"/>
        <w:rPr>
          <w:rStyle w:val="3Char"/>
          <w:rFonts w:hint="eastAsia"/>
          <w:bCs w:val="0"/>
        </w:rPr>
      </w:pPr>
      <w:bookmarkStart w:id="1" w:name="_Toc32276838"/>
      <w:r>
        <w:rPr>
          <w:rFonts w:hint="eastAsia"/>
        </w:rPr>
        <w:t>一、基本职能及主要工作</w:t>
      </w:r>
      <w:bookmarkEnd w:id="1"/>
    </w:p>
    <w:p>
      <w:pPr>
        <w:pStyle w:val="3"/>
        <w:keepNext/>
        <w:keepLines/>
        <w:pageBreakBefore w:val="0"/>
        <w:widowControl w:val="0"/>
        <w:suppressLineNumbers w:val="0"/>
        <w:suppressAutoHyphens/>
        <w:kinsoku/>
        <w:wordWrap/>
        <w:overflowPunct/>
        <w:topLinePunct w:val="0"/>
        <w:autoSpaceDE/>
        <w:autoSpaceDN/>
        <w:bidi w:val="0"/>
        <w:adjustRightInd/>
        <w:snapToGrid/>
        <w:spacing w:before="0" w:after="0" w:line="576" w:lineRule="exact"/>
        <w:textAlignment w:val="auto"/>
        <w:rPr>
          <w:rFonts w:ascii="仿宋_GB2312" w:eastAsia="仿宋_GB2312" w:cs="仿宋_GB2312" w:hAnsi="仿宋_GB2312" w:hint="eastAsia"/>
        </w:rPr>
      </w:pPr>
      <w:bookmarkStart w:id="2" w:name="_Toc32276839"/>
      <w:r>
        <w:rPr>
          <w:rFonts w:ascii="仿宋_GB2312" w:eastAsia="仿宋_GB2312" w:cs="仿宋_GB2312" w:hAnsi="仿宋_GB2312" w:hint="eastAsia"/>
        </w:rPr>
        <w:t>（一）广元石窟研究所单位职能简介</w:t>
      </w:r>
      <w:bookmarkEnd w:id="2"/>
    </w:p>
    <w:p>
      <w:pPr>
        <w:keepNext w:val="0"/>
        <w:keepLines w:val="0"/>
        <w:pageBreakBefore w:val="0"/>
        <w:widowControl w:val="0"/>
        <w:suppressAutoHyphens/>
        <w:kinsoku/>
        <w:wordWrap/>
        <w:overflowPunct/>
        <w:topLinePunct w:val="0"/>
        <w:autoSpaceDE/>
        <w:autoSpaceDN/>
        <w:bidi w:val="0"/>
        <w:adjustRightInd/>
        <w:snapToGrid/>
        <w:spacing w:line="576" w:lineRule="exact"/>
        <w:ind w:left="45" w:firstLine="600"/>
        <w:textAlignment w:val="auto"/>
        <w:rPr>
          <w:rFonts w:ascii="仿宋_GB2312" w:eastAsia="仿宋_GB2312" w:cs="仿宋_GB2312" w:hAnsi="仿宋_GB2312" w:hint="eastAsia"/>
          <w:sz w:val="32"/>
          <w:szCs w:val="32"/>
        </w:rPr>
      </w:pPr>
      <w:r>
        <w:rPr>
          <w:rFonts w:ascii="仿宋_GB2312" w:eastAsia="仿宋_GB2312" w:cs="仿宋_GB2312" w:hAnsi="仿宋_GB2312" w:hint="eastAsia"/>
          <w:sz w:val="32"/>
          <w:szCs w:val="32"/>
        </w:rPr>
        <w:t>广元石窟研究所主要对皇泽寺、千佛崖两个国家重点文物保护单位进行文物的保护、管理和利用、摩崖石窟艺术的研究，以及市文物中心库房（馆藏文物）的管理，市级考古工作站的管理，女皇文化学术研究及女皇故里城市名片打造，红军文化园的管理等工作。</w:t>
      </w:r>
    </w:p>
    <w:p>
      <w:pPr>
        <w:pStyle w:val="3"/>
        <w:keepNext/>
        <w:keepLines/>
        <w:pageBreakBefore w:val="0"/>
        <w:widowControl w:val="0"/>
        <w:suppressLineNumbers w:val="0"/>
        <w:suppressAutoHyphens/>
        <w:kinsoku/>
        <w:wordWrap/>
        <w:overflowPunct/>
        <w:topLinePunct w:val="0"/>
        <w:autoSpaceDN/>
        <w:bidi w:val="0"/>
        <w:adjustRightInd/>
        <w:snapToGrid/>
        <w:spacing w:before="0" w:after="0" w:line="576" w:lineRule="exact"/>
        <w:textAlignment w:val="auto"/>
      </w:pPr>
      <w:bookmarkStart w:id="3" w:name="_Toc32276840"/>
      <w:r>
        <w:rPr>
          <w:rFonts w:hint="eastAsia"/>
        </w:rPr>
        <w:t>（二）</w:t>
      </w:r>
      <w:r>
        <w:t>广元石窟研究所</w:t>
      </w:r>
      <w:r>
        <w:rPr>
          <w:rFonts w:hint="eastAsia"/>
        </w:rPr>
        <w:t>2025年重点工作</w:t>
      </w:r>
      <w:bookmarkEnd w:id="3"/>
    </w:p>
    <w:p>
      <w:pPr>
        <w:pageBreakBefore w:val="0"/>
        <w:widowControl w:val="0"/>
        <w:suppressAutoHyphens/>
        <w:kinsoku/>
        <w:wordWrap/>
        <w:overflowPunct/>
        <w:topLinePunct w:val="0"/>
        <w:autoSpaceDE w:val="0"/>
        <w:autoSpaceDN/>
        <w:bidi w:val="0"/>
        <w:adjustRightInd/>
        <w:snapToGrid/>
        <w:spacing w:line="576" w:lineRule="exact"/>
        <w:ind w:firstLineChars="200" w:firstLine="640"/>
        <w:textAlignment w:val="auto"/>
        <w:rPr>
          <w:rStyle w:val="33"/>
          <w:rFonts w:ascii="仿宋_GB2312" w:eastAsia="仿宋_GB2312" w:cs="仿宋_GB2312" w:hAnsi="仿宋_GB2312" w:hint="eastAsia"/>
          <w:bCs/>
          <w:sz w:val="32"/>
          <w:szCs w:val="32"/>
        </w:rPr>
      </w:pPr>
      <w:r>
        <w:rPr>
          <w:rFonts w:ascii="仿宋_GB2312" w:eastAsia="仿宋_GB2312" w:cs="仿宋_GB2312" w:hAnsi="仿宋_GB2312"/>
          <w:color w:val="000000"/>
          <w:sz w:val="32"/>
          <w:szCs w:val="32"/>
        </w:rPr>
        <w:t>一是引流增收</w:t>
      </w:r>
      <w:r>
        <w:rPr>
          <w:rFonts w:ascii="仿宋_GB2312" w:eastAsia="仿宋_GB2312" w:cs="仿宋_GB2312" w:hAnsi="仿宋_GB2312" w:hint="eastAsia"/>
          <w:color w:val="000000"/>
          <w:sz w:val="32"/>
          <w:szCs w:val="32"/>
          <w:lang w:eastAsia="zh-CN"/>
        </w:rPr>
        <w:t>持续给力</w:t>
      </w:r>
      <w:r>
        <w:rPr>
          <w:rFonts w:ascii="仿宋_GB2312" w:eastAsia="仿宋_GB2312" w:cs="仿宋_GB2312" w:hAnsi="仿宋_GB2312"/>
          <w:color w:val="000000"/>
          <w:sz w:val="32"/>
          <w:szCs w:val="32"/>
        </w:rPr>
        <w:t>。</w:t>
      </w:r>
      <w:r>
        <w:rPr>
          <w:rFonts w:ascii="仿宋_GB2312" w:eastAsia="仿宋_GB2312" w:cs="仿宋_GB2312" w:hAnsi="仿宋_GB2312" w:hint="eastAsia"/>
          <w:kern w:val="0"/>
          <w:sz w:val="32"/>
          <w:szCs w:val="32"/>
        </w:rPr>
        <w:t>2025年，皇泽寺、千佛崖景区收入、接待人次力争在2024年的基础上保持持续增长。</w:t>
      </w:r>
      <w:r>
        <w:rPr>
          <w:rFonts w:ascii="仿宋_GB2312" w:eastAsia="仿宋_GB2312" w:cs="仿宋_GB2312" w:hAnsi="仿宋_GB2312"/>
          <w:color w:val="000000"/>
          <w:sz w:val="32"/>
          <w:szCs w:val="32"/>
        </w:rPr>
        <w:t>二</w:t>
      </w:r>
      <w:r>
        <w:rPr>
          <w:rFonts w:ascii="仿宋_GB2312" w:eastAsia="仿宋_GB2312" w:cs="仿宋_GB2312" w:hAnsi="仿宋_GB2312" w:hint="eastAsia"/>
          <w:color w:val="000000"/>
          <w:sz w:val="32"/>
          <w:szCs w:val="32"/>
        </w:rPr>
        <w:t>是保护利用</w:t>
      </w:r>
      <w:r>
        <w:rPr>
          <w:rFonts w:ascii="仿宋_GB2312" w:eastAsia="仿宋_GB2312" w:cs="仿宋_GB2312" w:hAnsi="仿宋_GB2312"/>
          <w:color w:val="000000"/>
          <w:sz w:val="32"/>
          <w:szCs w:val="32"/>
        </w:rPr>
        <w:t>接</w:t>
      </w:r>
      <w:r>
        <w:rPr>
          <w:rFonts w:ascii="仿宋_GB2312" w:eastAsia="仿宋_GB2312" w:cs="仿宋_GB2312" w:hAnsi="仿宋_GB2312" w:hint="eastAsia"/>
          <w:color w:val="000000"/>
          <w:sz w:val="32"/>
          <w:szCs w:val="32"/>
        </w:rPr>
        <w:t>续发力。</w:t>
      </w:r>
      <w:r>
        <w:rPr>
          <w:rFonts w:ascii="仿宋" w:eastAsia="仿宋" w:cs="楷体_GB2312" w:hAnsi="仿宋_GB2312"/>
          <w:kern w:val="0"/>
          <w:sz w:val="32"/>
          <w:szCs w:val="32"/>
        </w:rPr>
        <w:t>始终坚持以项目促发展，</w:t>
      </w:r>
      <w:r>
        <w:rPr>
          <w:rFonts w:ascii="仿宋_GB2312" w:eastAsia="仿宋_GB2312" w:cs="仿宋_GB2312" w:hAnsi="仿宋_GB2312"/>
          <w:color w:val="000000"/>
          <w:sz w:val="32"/>
          <w:szCs w:val="32"/>
        </w:rPr>
        <w:t>推动</w:t>
      </w:r>
      <w:r>
        <w:rPr>
          <w:rFonts w:ascii="仿宋_GB2312" w:eastAsia="仿宋_GB2312" w:cs="仿宋_GB2312" w:hAnsi="仿宋_GB2312" w:hint="eastAsia"/>
          <w:color w:val="000000"/>
          <w:sz w:val="32"/>
          <w:szCs w:val="32"/>
        </w:rPr>
        <w:t>实施广元石窟数字化采集勘察及保护利用项目、皇泽寺摩崖造像数字化保护</w:t>
      </w:r>
      <w:r>
        <w:rPr>
          <w:rFonts w:ascii="仿宋_GB2312" w:eastAsia="仿宋_GB2312" w:cs="仿宋_GB2312" w:hAnsi="仿宋_GB2312"/>
          <w:color w:val="000000"/>
          <w:sz w:val="32"/>
          <w:szCs w:val="32"/>
        </w:rPr>
        <w:t>等重点</w:t>
      </w:r>
      <w:r>
        <w:rPr>
          <w:rFonts w:ascii="仿宋_GB2312" w:eastAsia="仿宋_GB2312" w:cs="仿宋_GB2312" w:hAnsi="仿宋_GB2312" w:hint="eastAsia"/>
          <w:color w:val="000000"/>
          <w:sz w:val="32"/>
          <w:szCs w:val="32"/>
        </w:rPr>
        <w:t>项目建设。</w:t>
      </w:r>
      <w:r>
        <w:rPr>
          <w:rFonts w:ascii="仿宋_GB2312" w:eastAsia="仿宋_GB2312" w:cs="仿宋_GB2312" w:hAnsi="仿宋_GB2312"/>
          <w:color w:val="000000"/>
          <w:sz w:val="32"/>
          <w:szCs w:val="32"/>
        </w:rPr>
        <w:t>三</w:t>
      </w:r>
      <w:r>
        <w:rPr>
          <w:rFonts w:ascii="仿宋_GB2312" w:eastAsia="仿宋_GB2312" w:cs="仿宋_GB2312" w:hAnsi="仿宋_GB2312" w:hint="eastAsia"/>
          <w:color w:val="000000"/>
          <w:sz w:val="32"/>
          <w:szCs w:val="32"/>
        </w:rPr>
        <w:t>是研究展示凝聚合力。完成《广元石窟考古报告系列——广元千佛崖莲花洞考古报告》出版工作</w:t>
      </w:r>
      <w:r>
        <w:rPr>
          <w:rFonts w:ascii="仿宋_GB2312" w:eastAsia="仿宋_GB2312" w:cs="仿宋_GB2312" w:hAnsi="仿宋_GB2312"/>
          <w:color w:val="000000"/>
          <w:sz w:val="32"/>
          <w:szCs w:val="32"/>
        </w:rPr>
        <w:t>；</w:t>
      </w:r>
      <w:r>
        <w:rPr>
          <w:rFonts w:ascii="仿宋_GB2312" w:eastAsia="仿宋_GB2312" w:cs="仿宋_GB2312" w:hAnsi="仿宋_GB2312" w:hint="eastAsia"/>
          <w:color w:val="000000"/>
          <w:sz w:val="32"/>
          <w:szCs w:val="32"/>
        </w:rPr>
        <w:t>推进2023年度国家社科基金项目《四川广元千佛崖摩崖造像北朝洞窟考古调查与研究》、2023省文博课题《广元千佛崖摩崖造像大佛窟（第726号窟）考古调查与整理》</w:t>
      </w:r>
      <w:r>
        <w:rPr>
          <w:rFonts w:ascii="仿宋_GB2312" w:eastAsia="仿宋_GB2312" w:cs="仿宋_GB2312" w:hAnsi="仿宋_GB2312"/>
          <w:color w:val="000000"/>
          <w:sz w:val="32"/>
          <w:szCs w:val="32"/>
        </w:rPr>
        <w:t>；</w:t>
      </w:r>
      <w:r>
        <w:rPr>
          <w:rFonts w:ascii="仿宋_GB2312" w:eastAsia="仿宋_GB2312" w:cs="仿宋_GB2312" w:hAnsi="仿宋_GB2312" w:hint="eastAsia"/>
          <w:color w:val="000000"/>
          <w:sz w:val="32"/>
          <w:szCs w:val="32"/>
        </w:rPr>
        <w:t>做好蜀道(金牛道广元段）</w:t>
      </w:r>
      <w:r>
        <w:rPr>
          <w:rFonts w:ascii="仿宋_GB2312" w:eastAsia="仿宋_GB2312" w:cs="仿宋_GB2312" w:hAnsi="仿宋_GB2312"/>
          <w:color w:val="000000"/>
          <w:sz w:val="32"/>
          <w:szCs w:val="32"/>
        </w:rPr>
        <w:t>、</w:t>
      </w:r>
      <w:r>
        <w:rPr>
          <w:rFonts w:ascii="仿宋_GB2312" w:eastAsia="仿宋_GB2312" w:cs="仿宋_GB2312" w:hAnsi="仿宋_GB2312" w:hint="eastAsia"/>
          <w:color w:val="000000"/>
          <w:sz w:val="32"/>
          <w:szCs w:val="32"/>
        </w:rPr>
        <w:t>宋元山城遗址考古调查</w:t>
      </w:r>
      <w:r>
        <w:rPr>
          <w:rFonts w:ascii="仿宋_GB2312" w:eastAsia="仿宋_GB2312" w:cs="仿宋_GB2312" w:hAnsi="仿宋_GB2312"/>
          <w:color w:val="000000"/>
          <w:sz w:val="32"/>
          <w:szCs w:val="32"/>
        </w:rPr>
        <w:t>等工作。四</w:t>
      </w:r>
      <w:r>
        <w:rPr>
          <w:rFonts w:ascii="仿宋_GB2312" w:eastAsia="仿宋_GB2312" w:cs="仿宋_GB2312" w:hAnsi="仿宋_GB2312" w:hint="eastAsia"/>
          <w:color w:val="000000"/>
          <w:sz w:val="32"/>
          <w:szCs w:val="32"/>
        </w:rPr>
        <w:t>是宣传营销精准施力。</w:t>
      </w:r>
      <w:r>
        <w:rPr>
          <w:rFonts w:ascii="仿宋_GB2312" w:eastAsia="仿宋_GB2312" w:cs="仿宋_GB2312" w:hAnsi="仿宋_GB2312"/>
          <w:color w:val="000000"/>
          <w:sz w:val="32"/>
          <w:szCs w:val="32"/>
        </w:rPr>
        <w:t>扎实</w:t>
      </w:r>
      <w:r>
        <w:rPr>
          <w:rFonts w:ascii="仿宋_GB2312" w:eastAsia="仿宋_GB2312" w:cs="仿宋_GB2312" w:hAnsi="仿宋_GB2312" w:hint="eastAsia"/>
          <w:color w:val="000000"/>
          <w:sz w:val="32"/>
          <w:szCs w:val="32"/>
        </w:rPr>
        <w:t>做好春节、五一、十一等重要时间节点活动策划，持续丰富景区产品供给</w:t>
      </w:r>
      <w:r>
        <w:rPr>
          <w:rFonts w:ascii="仿宋_GB2312" w:eastAsia="仿宋_GB2312" w:cs="仿宋_GB2312" w:hAnsi="仿宋_GB2312"/>
          <w:color w:val="000000"/>
          <w:sz w:val="32"/>
          <w:szCs w:val="32"/>
        </w:rPr>
        <w:t>；</w:t>
      </w:r>
      <w:r>
        <w:rPr>
          <w:rFonts w:ascii="仿宋_GB2312" w:eastAsia="仿宋_GB2312" w:cs="仿宋_GB2312" w:hAnsi="仿宋_GB2312" w:hint="eastAsia"/>
          <w:color w:val="000000"/>
          <w:sz w:val="32"/>
          <w:szCs w:val="32"/>
        </w:rPr>
        <w:t>依托“蜀道行吟”文化品牌，策划推出系列宣传短视频</w:t>
      </w:r>
      <w:r>
        <w:rPr>
          <w:rFonts w:ascii="仿宋_GB2312" w:eastAsia="仿宋_GB2312" w:cs="仿宋_GB2312" w:hAnsi="仿宋_GB2312"/>
          <w:color w:val="000000"/>
          <w:sz w:val="32"/>
          <w:szCs w:val="32"/>
        </w:rPr>
        <w:t>；持续</w:t>
      </w:r>
      <w:r>
        <w:rPr>
          <w:rFonts w:ascii="仿宋_GB2312" w:eastAsia="仿宋_GB2312" w:cs="仿宋_GB2312" w:hAnsi="仿宋_GB2312" w:hint="eastAsia"/>
          <w:color w:val="000000"/>
          <w:sz w:val="32"/>
          <w:szCs w:val="32"/>
        </w:rPr>
        <w:t>做好文创产品开发等相关工作。</w:t>
      </w:r>
      <w:r>
        <w:rPr>
          <w:rFonts w:ascii="仿宋_GB2312" w:eastAsia="仿宋_GB2312" w:cs="仿宋_GB2312" w:hAnsi="仿宋_GB2312"/>
          <w:color w:val="000000"/>
          <w:sz w:val="32"/>
          <w:szCs w:val="32"/>
        </w:rPr>
        <w:t>五是基层党建</w:t>
      </w:r>
      <w:r>
        <w:rPr>
          <w:rFonts w:ascii="仿宋_GB2312" w:eastAsia="仿宋_GB2312" w:cs="仿宋_GB2312" w:hAnsi="仿宋_GB2312" w:hint="eastAsia"/>
          <w:color w:val="000000"/>
          <w:sz w:val="32"/>
          <w:szCs w:val="32"/>
          <w:lang w:eastAsia="zh-CN"/>
        </w:rPr>
        <w:t>焕发活力</w:t>
      </w:r>
      <w:r>
        <w:rPr>
          <w:rFonts w:ascii="仿宋_GB2312" w:eastAsia="仿宋_GB2312" w:cs="仿宋_GB2312" w:hAnsi="仿宋_GB2312"/>
          <w:color w:val="000000"/>
          <w:sz w:val="32"/>
          <w:szCs w:val="32"/>
        </w:rPr>
        <w:t>。</w:t>
      </w:r>
      <w:r>
        <w:rPr>
          <w:rStyle w:val="33"/>
          <w:rFonts w:ascii="仿宋_GB2312" w:eastAsia="仿宋_GB2312" w:cs="仿宋_GB2312" w:hAnsi="仿宋_GB2312" w:hint="eastAsia"/>
          <w:sz w:val="32"/>
          <w:szCs w:val="32"/>
        </w:rPr>
        <w:t>严格</w:t>
      </w:r>
      <w:r>
        <w:rPr>
          <w:rStyle w:val="33"/>
          <w:rFonts w:ascii="仿宋_GB2312" w:eastAsia="仿宋_GB2312" w:cs="仿宋_GB2312" w:hAnsi="仿宋_GB2312" w:hint="eastAsia"/>
          <w:bCs/>
          <w:sz w:val="32"/>
          <w:szCs w:val="32"/>
        </w:rPr>
        <w:t>落实“三会一课”、组织生活会等，深入抓实意识形态、党风廉政建设和反腐败工作责任制，推进“我把千年讲给你听”—党建品牌活动打造，持续用力乡村振兴、红色星期六、街长制等相关工作。</w:t>
      </w:r>
    </w:p>
    <w:p>
      <w:pPr>
        <w:pStyle w:val="2"/>
        <w:keepNext/>
        <w:keepLines/>
        <w:pageBreakBefore w:val="0"/>
        <w:widowControl w:val="0"/>
        <w:suppressLineNumbers w:val="0"/>
        <w:suppressAutoHyphens/>
        <w:kinsoku/>
        <w:wordWrap/>
        <w:overflowPunct/>
        <w:topLinePunct w:val="0"/>
        <w:autoSpaceDN/>
        <w:bidi w:val="0"/>
        <w:adjustRightInd/>
        <w:snapToGrid/>
        <w:spacing w:before="0" w:after="0" w:line="576" w:lineRule="exact"/>
        <w:textAlignment w:val="auto"/>
        <w:rPr>
          <w:rFonts w:hint="eastAsia"/>
        </w:rPr>
      </w:pPr>
      <w:bookmarkStart w:id="4" w:name="_Toc32276841"/>
      <w:r>
        <w:rPr>
          <w:rFonts w:hint="eastAsia"/>
        </w:rPr>
        <w:t>二、部门预算单位构成</w:t>
      </w:r>
      <w:bookmarkEnd w:id="4"/>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sz w:val="32"/>
          <w:szCs w:val="32"/>
          <w:lang w:val="en-US" w:eastAsia="zh-CN"/>
        </w:rPr>
      </w:pPr>
      <w:r>
        <w:rPr>
          <w:rFonts w:ascii="仿宋_GB2312" w:eastAsia="仿宋_GB2312" w:cs="仿宋_GB2312" w:hAnsi="仿宋_GB2312" w:hint="eastAsia"/>
          <w:sz w:val="32"/>
          <w:szCs w:val="32"/>
          <w:lang w:val="en-US" w:eastAsia="zh-CN"/>
        </w:rPr>
        <w:t>我单位为</w:t>
      </w:r>
      <w:r>
        <w:rPr>
          <w:rFonts w:ascii="仿宋_GB2312" w:eastAsia="仿宋_GB2312" w:cs="仿宋_GB2312" w:hAnsi="仿宋_GB2312"/>
          <w:sz w:val="32"/>
          <w:szCs w:val="32"/>
          <w:lang w:val="en-US" w:eastAsia="zh-CN"/>
        </w:rPr>
        <w:t>市文广旅局</w:t>
      </w:r>
      <w:r>
        <w:rPr>
          <w:rFonts w:ascii="仿宋_GB2312" w:eastAsia="仿宋_GB2312" w:cs="仿宋_GB2312" w:hAnsi="仿宋_GB2312" w:hint="eastAsia"/>
          <w:sz w:val="32"/>
          <w:szCs w:val="32"/>
          <w:lang w:val="en-US" w:eastAsia="zh-CN"/>
        </w:rPr>
        <w:t>单位的下属二级预算单位，</w:t>
      </w:r>
      <w:r>
        <w:rPr>
          <w:rFonts w:ascii="仿宋_GB2312" w:eastAsia="仿宋_GB2312" w:cs="仿宋_GB2312" w:hAnsi="仿宋_GB2312"/>
          <w:sz w:val="32"/>
          <w:szCs w:val="32"/>
          <w:lang w:val="en-US" w:eastAsia="zh-CN"/>
        </w:rPr>
        <w:t>由原皇泽寺博物馆与广元市千佛崖石刻艺术博物馆合并而成，</w:t>
      </w:r>
      <w:r>
        <w:rPr>
          <w:rFonts w:ascii="仿宋_GB2312" w:eastAsia="仿宋_GB2312" w:cs="仿宋_GB2312" w:hAnsi="仿宋_GB2312" w:hint="eastAsia"/>
          <w:sz w:val="32"/>
          <w:szCs w:val="32"/>
          <w:lang w:val="en-US" w:eastAsia="zh-CN"/>
        </w:rPr>
        <w:t>本单位无下属机构，设有内设</w:t>
      </w:r>
      <w:r>
        <w:rPr>
          <w:rFonts w:ascii="仿宋_GB2312" w:eastAsia="仿宋_GB2312" w:cs="仿宋_GB2312" w:hAnsi="仿宋_GB2312"/>
          <w:sz w:val="32"/>
          <w:szCs w:val="32"/>
          <w:lang w:val="en-US" w:eastAsia="zh-CN"/>
        </w:rPr>
        <w:t>科室10</w:t>
      </w:r>
      <w:r>
        <w:rPr>
          <w:rFonts w:ascii="仿宋_GB2312" w:eastAsia="仿宋_GB2312" w:cs="仿宋_GB2312" w:hAnsi="仿宋_GB2312" w:hint="eastAsia"/>
          <w:sz w:val="32"/>
          <w:szCs w:val="32"/>
          <w:lang w:val="en-US" w:eastAsia="zh-CN"/>
        </w:rPr>
        <w:t>个。</w:t>
      </w:r>
    </w:p>
    <w:p>
      <w:pPr>
        <w:keepNext w:val="0"/>
        <w:keepLines w:val="0"/>
        <w:pageBreakBefore w:val="0"/>
        <w:widowControl/>
        <w:suppressLineNumbers w:val="0"/>
        <w:pBdr>
          <w:top w:val="none" w:sz="0" w:space="0" w:color="auto"/>
          <w:left w:val="none" w:sz="0" w:space="0" w:color="auto"/>
          <w:bottom w:val="none" w:sz="0" w:space="0" w:color="auto"/>
          <w:right w:val="none" w:sz="0" w:space="0" w:color="auto"/>
        </w:pBdr>
        <w:shd w:val="clear" w:color="auto" w:fill="FFFFFF"/>
        <w:suppressAutoHyphens/>
        <w:kinsoku/>
        <w:wordWrap/>
        <w:overflowPunct/>
        <w:topLinePunct w:val="0"/>
        <w:autoSpaceDN/>
        <w:bidi w:val="0"/>
        <w:adjustRightInd/>
        <w:snapToGrid/>
        <w:spacing w:beforeAutospacing="0" w:afterAutospacing="0" w:line="576" w:lineRule="exact"/>
        <w:ind w:right="0"/>
        <w:jc w:val="both"/>
        <w:textAlignment w:val="auto"/>
        <w:rPr>
          <w:rFonts w:ascii="方正小标宋简体" w:eastAsia="方正小标宋简体" w:cs="方正小标宋简体" w:hAnsi="方正小标宋简体" w:hint="eastAsia"/>
          <w:b w:val="0"/>
          <w:bCs w:val="0"/>
          <w:i w:val="0"/>
          <w:caps w:val="0"/>
          <w:smallCaps w:val="0"/>
          <w:color w:val="000000"/>
          <w:spacing w:val="0"/>
          <w:kern w:val="0"/>
          <w:sz w:val="44"/>
          <w:szCs w:val="44"/>
          <w:shd w:val="clear" w:color="auto" w:fill="FFFFFF"/>
          <w:lang w:val="en-US" w:eastAsia="zh-CN"/>
          <w:highlight w:val="auto"/>
        </w:rPr>
      </w:pPr>
    </w:p>
    <w:p>
      <w:pPr>
        <w:keepNext w:val="0"/>
        <w:keepLines w:val="0"/>
        <w:pageBreakBefore w:val="0"/>
        <w:widowControl/>
        <w:suppressLineNumbers w:val="0"/>
        <w:pBdr>
          <w:top w:val="none" w:sz="0" w:space="0" w:color="auto"/>
          <w:left w:val="none" w:sz="0" w:space="0" w:color="auto"/>
          <w:bottom w:val="none" w:sz="0" w:space="0" w:color="auto"/>
          <w:right w:val="none" w:sz="0" w:space="0" w:color="auto"/>
        </w:pBdr>
        <w:shd w:val="clear" w:color="auto" w:fill="FFFFFF"/>
        <w:suppressAutoHyphens/>
        <w:kinsoku/>
        <w:wordWrap/>
        <w:overflowPunct/>
        <w:topLinePunct w:val="0"/>
        <w:autoSpaceDN/>
        <w:bidi w:val="0"/>
        <w:adjustRightInd/>
        <w:snapToGrid/>
        <w:spacing w:beforeAutospacing="0" w:afterAutospacing="0" w:line="576" w:lineRule="exact"/>
        <w:ind w:right="0"/>
        <w:jc w:val="both"/>
        <w:textAlignment w:val="auto"/>
        <w:rPr>
          <w:rFonts w:ascii="方正小标宋简体" w:eastAsia="方正小标宋简体" w:cs="方正小标宋简体" w:hAnsi="方正小标宋简体" w:hint="eastAsia"/>
          <w:b w:val="0"/>
          <w:bCs w:val="0"/>
          <w:i w:val="0"/>
          <w:caps w:val="0"/>
          <w:smallCaps w:val="0"/>
          <w:color w:val="000000"/>
          <w:spacing w:val="0"/>
          <w:kern w:val="0"/>
          <w:sz w:val="44"/>
          <w:szCs w:val="44"/>
          <w:shd w:val="clear" w:color="auto" w:fill="FFFFFF"/>
          <w:lang w:val="en-US" w:eastAsia="zh-CN"/>
          <w:highlight w:val="auto"/>
        </w:rPr>
      </w:pPr>
    </w:p>
    <w:p>
      <w:pPr>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0" w:beforeAutospacing="0" w:after="0" w:afterAutospacing="0" w:line="580" w:lineRule="atLeast"/>
        <w:ind w:right="0"/>
        <w:jc w:val="both"/>
        <w:rPr>
          <w:rFonts w:ascii="方正小标宋简体" w:eastAsia="方正小标宋简体" w:cs="方正小标宋简体" w:hAnsi="方正小标宋简体" w:hint="eastAsia"/>
          <w:b w:val="0"/>
          <w:bCs w:val="0"/>
          <w:i w:val="0"/>
          <w:caps w:val="0"/>
          <w:smallCaps w:val="0"/>
          <w:color w:val="000000"/>
          <w:spacing w:val="0"/>
          <w:kern w:val="0"/>
          <w:sz w:val="44"/>
          <w:szCs w:val="44"/>
          <w:shd w:val="clear" w:color="auto" w:fill="FFFFFF"/>
          <w:lang w:val="en-US" w:eastAsia="zh-CN"/>
          <w:highlight w:val="auto"/>
        </w:rPr>
      </w:pPr>
    </w:p>
    <w:p>
      <w:pPr>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0" w:beforeAutospacing="0" w:after="0" w:afterAutospacing="0" w:line="580" w:lineRule="atLeast"/>
        <w:ind w:right="0"/>
        <w:jc w:val="both"/>
        <w:rPr>
          <w:rFonts w:ascii="方正小标宋简体" w:eastAsia="方正小标宋简体" w:cs="方正小标宋简体" w:hAnsi="方正小标宋简体" w:hint="eastAsia"/>
          <w:b w:val="0"/>
          <w:bCs w:val="0"/>
          <w:i w:val="0"/>
          <w:caps w:val="0"/>
          <w:smallCaps w:val="0"/>
          <w:color w:val="000000"/>
          <w:spacing w:val="0"/>
          <w:kern w:val="0"/>
          <w:sz w:val="44"/>
          <w:szCs w:val="44"/>
          <w:shd w:val="clear" w:color="auto" w:fill="FFFFFF"/>
          <w:lang w:val="en-US" w:eastAsia="zh-CN"/>
          <w:highlight w:val="auto"/>
        </w:rPr>
      </w:pPr>
    </w:p>
    <w:p>
      <w:pPr>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0" w:beforeAutospacing="0" w:after="0" w:afterAutospacing="0" w:line="580" w:lineRule="atLeast"/>
        <w:ind w:right="0"/>
        <w:jc w:val="both"/>
        <w:rPr>
          <w:rFonts w:ascii="方正小标宋简体" w:eastAsia="方正小标宋简体" w:cs="方正小标宋简体" w:hAnsi="方正小标宋简体" w:hint="eastAsia"/>
          <w:b w:val="0"/>
          <w:bCs w:val="0"/>
          <w:i w:val="0"/>
          <w:caps w:val="0"/>
          <w:smallCaps w:val="0"/>
          <w:color w:val="000000"/>
          <w:spacing w:val="0"/>
          <w:kern w:val="0"/>
          <w:sz w:val="44"/>
          <w:szCs w:val="44"/>
          <w:shd w:val="clear" w:color="auto" w:fill="FFFFFF"/>
          <w:lang w:val="en-US" w:eastAsia="zh-CN"/>
          <w:highlight w:val="auto"/>
        </w:rPr>
        <w:sectPr>
          <w:pgSz w:w="11906" w:h="16838"/>
          <w:pgMar w:top="2098" w:right="1474" w:bottom="1984" w:left="1587" w:header="720" w:footer="1559" w:gutter="0"/>
          <w:cols w:num="1" w:space="0"/>
          <w:rtlGutter/>
          <w:docGrid w:type="lines" w:linePitch="312" w:charSpace="0"/>
        </w:sectPr>
      </w:pPr>
    </w:p>
    <w:p>
      <w:pPr>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0" w:beforeAutospacing="0" w:after="0" w:afterAutospacing="0" w:line="580" w:lineRule="atLeast"/>
        <w:ind w:right="0"/>
        <w:jc w:val="both"/>
        <w:rPr>
          <w:rFonts w:ascii="方正小标宋简体" w:eastAsia="方正小标宋简体" w:cs="方正小标宋简体" w:hAnsi="方正小标宋简体" w:hint="eastAsia"/>
          <w:b w:val="0"/>
          <w:bCs w:val="0"/>
          <w:i w:val="0"/>
          <w:caps w:val="0"/>
          <w:smallCaps w:val="0"/>
          <w:color w:val="000000"/>
          <w:spacing w:val="0"/>
          <w:kern w:val="0"/>
          <w:sz w:val="44"/>
          <w:szCs w:val="44"/>
          <w:shd w:val="clear" w:color="auto" w:fill="FFFFFF"/>
          <w:lang w:val="en-US" w:eastAsia="zh-CN"/>
          <w:highlight w:val="auto"/>
        </w:rPr>
      </w:pPr>
    </w:p>
    <w:p>
      <w:pPr>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0" w:beforeAutospacing="0" w:after="0" w:afterAutospacing="0" w:line="580" w:lineRule="atLeast"/>
        <w:ind w:right="0"/>
        <w:jc w:val="both"/>
        <w:rPr>
          <w:rFonts w:ascii="方正小标宋简体" w:eastAsia="方正小标宋简体" w:cs="方正小标宋简体" w:hAnsi="方正小标宋简体" w:hint="eastAsia"/>
          <w:b w:val="0"/>
          <w:bCs w:val="0"/>
          <w:i w:val="0"/>
          <w:caps w:val="0"/>
          <w:smallCaps w:val="0"/>
          <w:color w:val="000000"/>
          <w:spacing w:val="0"/>
          <w:kern w:val="0"/>
          <w:sz w:val="44"/>
          <w:szCs w:val="44"/>
          <w:shd w:val="clear" w:color="auto" w:fill="FFFFFF"/>
          <w:lang w:val="en-US" w:eastAsia="zh-CN"/>
          <w:highlight w:val="auto"/>
        </w:rPr>
      </w:pPr>
    </w:p>
    <w:p>
      <w:pPr>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0" w:beforeAutospacing="0" w:after="0" w:afterAutospacing="0" w:line="580" w:lineRule="atLeast"/>
        <w:ind w:right="0"/>
        <w:jc w:val="both"/>
        <w:rPr>
          <w:rFonts w:ascii="方正小标宋简体" w:eastAsia="方正小标宋简体" w:cs="方正小标宋简体" w:hAnsi="方正小标宋简体" w:hint="eastAsia"/>
          <w:b w:val="0"/>
          <w:bCs w:val="0"/>
          <w:i w:val="0"/>
          <w:caps w:val="0"/>
          <w:smallCaps w:val="0"/>
          <w:color w:val="000000"/>
          <w:spacing w:val="0"/>
          <w:kern w:val="0"/>
          <w:sz w:val="44"/>
          <w:szCs w:val="44"/>
          <w:shd w:val="clear" w:color="auto" w:fill="FFFFFF"/>
          <w:lang w:val="en-US" w:eastAsia="zh-CN"/>
          <w:highlight w:val="auto"/>
        </w:rPr>
      </w:pPr>
    </w:p>
    <w:p>
      <w:pPr>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0" w:beforeAutospacing="0" w:after="0" w:afterAutospacing="0" w:line="580" w:lineRule="atLeast"/>
        <w:ind w:right="0"/>
        <w:jc w:val="both"/>
        <w:rPr>
          <w:rFonts w:ascii="方正小标宋简体" w:eastAsia="方正小标宋简体" w:cs="方正小标宋简体" w:hAnsi="方正小标宋简体" w:hint="eastAsia"/>
          <w:b w:val="0"/>
          <w:bCs w:val="0"/>
          <w:i w:val="0"/>
          <w:caps w:val="0"/>
          <w:smallCaps w:val="0"/>
          <w:color w:val="000000"/>
          <w:spacing w:val="0"/>
          <w:kern w:val="0"/>
          <w:sz w:val="44"/>
          <w:szCs w:val="44"/>
          <w:shd w:val="clear" w:color="auto" w:fill="FFFFFF"/>
          <w:lang w:val="en-US" w:eastAsia="zh-CN"/>
          <w:highlight w:val="auto"/>
        </w:rPr>
      </w:pPr>
    </w:p>
    <w:p>
      <w:pPr>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0" w:beforeAutospacing="0" w:after="0" w:afterAutospacing="0" w:line="580" w:lineRule="atLeast"/>
        <w:ind w:right="0"/>
        <w:rPr>
          <w:rFonts w:ascii="方正小标宋简体" w:eastAsia="方正小标宋简体" w:cs="方正小标宋简体" w:hAnsi="方正小标宋简体" w:hint="eastAsia"/>
          <w:b w:val="0"/>
          <w:bCs w:val="0"/>
          <w:i w:val="0"/>
          <w:caps w:val="0"/>
          <w:smallCaps w:val="0"/>
          <w:color w:val="000000"/>
          <w:spacing w:val="0"/>
          <w:kern w:val="0"/>
          <w:sz w:val="44"/>
          <w:szCs w:val="44"/>
          <w:shd w:val="clear" w:color="auto" w:fill="FFFFFF"/>
          <w:lang w:val="en-US" w:eastAsia="zh-CN"/>
          <w:highlight w:val="auto"/>
        </w:rPr>
      </w:pPr>
    </w:p>
    <w:p>
      <w:pPr>
        <w:pStyle w:val="1"/>
        <w:keepNext/>
        <w:keepLines/>
        <w:pageBreakBefore w:val="0"/>
        <w:widowControl w:val="0"/>
        <w:suppressLineNumbers w:val="0"/>
        <w:pBdr>
          <w:top w:val="none" w:sz="0" w:space="0" w:color="auto"/>
          <w:left w:val="none" w:sz="0" w:space="0" w:color="auto"/>
          <w:bottom w:val="none" w:sz="0" w:space="0" w:color="auto"/>
          <w:right w:val="none" w:sz="0" w:space="0" w:color="auto"/>
        </w:pBdr>
        <w:suppressAutoHyphens/>
        <w:rPr>
          <w:rFonts w:hint="eastAsia"/>
        </w:rPr>
      </w:pPr>
      <w:bookmarkStart w:id="5" w:name="_Toc32276842"/>
      <w:r>
        <w:t>第二部分 广元石窟研究所</w:t>
      </w:r>
      <w:r>
        <w:rPr>
          <w:rFonts w:hint="eastAsia"/>
        </w:rPr>
        <w:t>2025年</w:t>
      </w:r>
      <w:bookmarkEnd w:id="5"/>
    </w:p>
    <w:p>
      <w:pPr>
        <w:pStyle w:val="1"/>
        <w:keepNext/>
        <w:keepLines/>
        <w:pageBreakBefore w:val="0"/>
        <w:widowControl w:val="0"/>
        <w:suppressLineNumbers w:val="0"/>
        <w:pBdr>
          <w:top w:val="none" w:sz="0" w:space="0" w:color="auto"/>
          <w:left w:val="none" w:sz="0" w:space="0" w:color="auto"/>
          <w:bottom w:val="none" w:sz="0" w:space="0" w:color="auto"/>
          <w:right w:val="none" w:sz="0" w:space="0" w:color="auto"/>
        </w:pBdr>
        <w:suppressAutoHyphens/>
        <w:spacing w:before="340" w:after="330" w:line="578" w:lineRule="auto"/>
        <w:jc w:val="center"/>
        <w:rPr>
          <w:rFonts w:hint="eastAsia"/>
        </w:rPr>
      </w:pPr>
      <w:bookmarkStart w:id="6" w:name="_Toc32276843"/>
      <w:r>
        <w:rPr>
          <w:rFonts w:hint="eastAsia"/>
        </w:rPr>
        <w:t>单位预算情况说明</w:t>
      </w:r>
      <w:bookmarkEnd w:id="6"/>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黑体" w:eastAsia="黑体" w:cs="黑体" w:hAnsi="黑体" w:hint="eastAsia"/>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黑体" w:eastAsia="黑体" w:cs="黑体" w:hAnsi="黑体" w:hint="eastAsia"/>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黑体" w:eastAsia="黑体" w:cs="黑体" w:hAnsi="黑体" w:hint="eastAsia"/>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黑体" w:eastAsia="黑体" w:cs="黑体" w:hAnsi="黑体" w:hint="eastAsia"/>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黑体" w:eastAsia="黑体" w:cs="黑体" w:hAnsi="黑体" w:hint="eastAsia"/>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left="0"/>
        <w:textAlignment w:val="auto"/>
        <w:rPr>
          <w:rFonts w:ascii="黑体" w:eastAsia="黑体" w:cs="黑体" w:hAnsi="黑体" w:hint="eastAsia"/>
          <w:sz w:val="32"/>
          <w:szCs w:val="32"/>
          <w:lang w:val="en-US" w:eastAsia="zh-CN"/>
        </w:rPr>
        <w:sectPr>
          <w:pgSz w:w="11906" w:h="16838"/>
          <w:pgMar w:top="2098" w:right="1474" w:bottom="1984" w:left="1587" w:header="720" w:footer="1559" w:gutter="0"/>
          <w:cols w:num="1" w:space="0"/>
          <w:rtlGutter/>
          <w:docGrid w:type="lines" w:linePitch="312" w:charSpace="0"/>
        </w:sectPr>
      </w:pPr>
    </w:p>
    <w:p>
      <w:pPr>
        <w:keepNext w:val="0"/>
        <w:keepLines w:val="0"/>
        <w:pageBreakBefore w:val="0"/>
        <w:widowControl w:val="0"/>
        <w:suppressAutoHyphens/>
        <w:kinsoku/>
        <w:wordWrap/>
        <w:overflowPunct/>
        <w:topLinePunct w:val="0"/>
        <w:autoSpaceDE/>
        <w:autoSpaceDN/>
        <w:bidi w:val="0"/>
        <w:adjustRightInd/>
        <w:snapToGrid/>
        <w:spacing w:line="576" w:lineRule="exact"/>
        <w:textAlignment w:val="auto"/>
        <w:rPr>
          <w:rFonts w:ascii="黑体" w:eastAsia="黑体" w:cs="黑体" w:hAnsi="黑体" w:hint="eastAsia"/>
          <w:sz w:val="32"/>
          <w:szCs w:val="32"/>
          <w:lang w:val="en-US" w:eastAsia="zh-CN"/>
        </w:rPr>
      </w:pPr>
    </w:p>
    <w:p>
      <w:pPr>
        <w:pStyle w:val="2"/>
        <w:keepNext/>
        <w:keepLines/>
        <w:pageBreakBefore w:val="0"/>
        <w:widowControl w:val="0"/>
        <w:suppressLineNumbers w:val="0"/>
        <w:suppressAutoHyphens/>
        <w:kinsoku/>
        <w:wordWrap/>
        <w:overflowPunct/>
        <w:topLinePunct w:val="0"/>
        <w:autoSpaceDE/>
        <w:autoSpaceDN/>
        <w:bidi w:val="0"/>
        <w:adjustRightInd/>
        <w:snapToGrid/>
        <w:spacing w:before="0" w:after="0" w:line="576" w:lineRule="exact"/>
        <w:ind w:firstLineChars="200" w:firstLine="640"/>
        <w:textAlignment w:val="auto"/>
        <w:rPr>
          <w:rFonts w:hint="eastAsia"/>
        </w:rPr>
      </w:pPr>
      <w:bookmarkStart w:id="7" w:name="_Toc32276844"/>
      <w:r>
        <w:rPr>
          <w:rFonts w:hint="eastAsia"/>
        </w:rPr>
        <w:t>一、收支预算情况说明</w:t>
      </w:r>
      <w:bookmarkEnd w:id="7"/>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sz w:val="32"/>
          <w:szCs w:val="32"/>
        </w:rPr>
      </w:pPr>
      <w:r>
        <w:rPr>
          <w:rFonts w:ascii="仿宋_GB2312" w:eastAsia="仿宋_GB2312" w:cs="仿宋_GB2312" w:hAnsi="仿宋_GB2312" w:hint="eastAsia"/>
          <w:sz w:val="32"/>
          <w:szCs w:val="32"/>
          <w:lang w:val="en-US" w:eastAsia="zh-CN"/>
        </w:rPr>
        <w:t>按照综合预算的原则，</w:t>
      </w:r>
      <w:r>
        <w:rPr>
          <w:rFonts w:ascii="仿宋_GB2312" w:eastAsia="仿宋_GB2312" w:cs="仿宋_GB2312" w:hAnsi="仿宋_GB2312"/>
          <w:sz w:val="32"/>
          <w:szCs w:val="32"/>
          <w:lang w:val="en-US" w:eastAsia="zh-CN"/>
        </w:rPr>
        <w:t>广元石窟研究所</w:t>
      </w:r>
      <w:r>
        <w:rPr>
          <w:rFonts w:ascii="仿宋_GB2312" w:eastAsia="仿宋_GB2312" w:cs="仿宋_GB2312" w:hAnsi="仿宋_GB2312" w:hint="eastAsia"/>
          <w:sz w:val="32"/>
          <w:szCs w:val="32"/>
          <w:lang w:val="en-US" w:eastAsia="zh-CN"/>
        </w:rPr>
        <w:t>所有收入和支出均纳入部门预算管理。收入包括：一般公共预算拨款收入；支出包括：文化旅游体育与传媒支出、社会保障和就业支出、卫生健康支出、住房保障支出。</w:t>
      </w:r>
      <w:r>
        <w:rPr>
          <w:rFonts w:ascii="仿宋_GB2312" w:eastAsia="仿宋_GB2312" w:cs="仿宋_GB2312" w:hAnsi="仿宋_GB2312"/>
          <w:sz w:val="32"/>
          <w:szCs w:val="32"/>
          <w:lang w:val="en-US" w:eastAsia="zh-CN"/>
        </w:rPr>
        <w:t>广元石窟研究所</w:t>
      </w:r>
      <w:r>
        <w:rPr>
          <w:rFonts w:ascii="仿宋_GB2312" w:eastAsia="仿宋_GB2312" w:cs="仿宋_GB2312" w:hAnsi="仿宋_GB2312" w:hint="eastAsia"/>
          <w:sz w:val="32"/>
          <w:szCs w:val="32"/>
          <w:lang w:val="en-US" w:eastAsia="zh-CN"/>
        </w:rPr>
        <w:t>2025年收支预算总数</w:t>
      </w:r>
      <w:r>
        <w:rPr>
          <w:rFonts w:ascii="仿宋_GB2312" w:eastAsia="仿宋_GB2312" w:cs="仿宋_GB2312" w:hAnsi="仿宋_GB2312"/>
          <w:sz w:val="32"/>
          <w:szCs w:val="32"/>
          <w:lang w:val="en-US" w:eastAsia="zh-CN"/>
        </w:rPr>
        <w:t>1520.14</w:t>
      </w:r>
      <w:r>
        <w:rPr>
          <w:rFonts w:ascii="仿宋_GB2312" w:eastAsia="仿宋_GB2312" w:cs="仿宋_GB2312" w:hAnsi="仿宋_GB2312" w:hint="eastAsia"/>
          <w:sz w:val="32"/>
          <w:szCs w:val="32"/>
          <w:lang w:val="en-US" w:eastAsia="zh-CN"/>
        </w:rPr>
        <w:t>万元,比2024年收支预算总数增加</w:t>
      </w:r>
      <w:r>
        <w:rPr>
          <w:rFonts w:ascii="仿宋_GB2312" w:eastAsia="仿宋_GB2312" w:cs="仿宋_GB2312" w:hAnsi="仿宋_GB2312"/>
          <w:sz w:val="32"/>
          <w:szCs w:val="32"/>
          <w:lang w:val="en-US" w:eastAsia="zh-CN"/>
        </w:rPr>
        <w:t>9.19</w:t>
      </w:r>
      <w:r>
        <w:rPr>
          <w:rFonts w:ascii="仿宋_GB2312" w:eastAsia="仿宋_GB2312" w:cs="仿宋_GB2312" w:hAnsi="仿宋_GB2312" w:hint="eastAsia"/>
          <w:sz w:val="32"/>
          <w:szCs w:val="32"/>
          <w:lang w:val="en-US" w:eastAsia="zh-CN"/>
        </w:rPr>
        <w:t>万元，主要原因是</w:t>
      </w:r>
      <w:r>
        <w:rPr>
          <w:rFonts w:ascii="仿宋_GB2312" w:eastAsia="仿宋_GB2312" w:cs="仿宋_GB2312" w:hAnsi="仿宋_GB2312"/>
          <w:sz w:val="32"/>
          <w:szCs w:val="32"/>
          <w:lang w:val="en-US" w:eastAsia="zh-CN"/>
        </w:rPr>
        <w:t>本年度薪级工资晋升及部分职工岗位调整。</w:t>
      </w:r>
    </w:p>
    <w:p>
      <w:pPr>
        <w:pStyle w:val="3"/>
        <w:keepNext/>
        <w:keepLines/>
        <w:pageBreakBefore w:val="0"/>
        <w:widowControl w:val="0"/>
        <w:suppressLineNumbers w:val="0"/>
        <w:suppressAutoHyphens/>
        <w:kinsoku/>
        <w:wordWrap/>
        <w:overflowPunct/>
        <w:topLinePunct w:val="0"/>
        <w:autoSpaceDE/>
        <w:autoSpaceDN/>
        <w:bidi w:val="0"/>
        <w:adjustRightInd/>
        <w:snapToGrid/>
        <w:spacing w:before="0" w:after="0" w:line="576" w:lineRule="exact"/>
        <w:ind w:firstLineChars="200" w:firstLine="640"/>
        <w:textAlignment w:val="auto"/>
        <w:rPr>
          <w:rFonts w:ascii="仿宋_GB2312" w:eastAsia="仿宋_GB2312" w:cs="仿宋_GB2312" w:hAnsi="仿宋_GB2312" w:hint="eastAsia"/>
        </w:rPr>
      </w:pPr>
      <w:bookmarkStart w:id="8" w:name="_Toc32276845"/>
      <w:r>
        <w:rPr>
          <w:rFonts w:ascii="仿宋_GB2312" w:eastAsia="仿宋_GB2312" w:cs="仿宋_GB2312" w:hAnsi="仿宋_GB2312" w:hint="eastAsia"/>
        </w:rPr>
        <w:t>（一）收入预算情况</w:t>
      </w:r>
      <w:bookmarkEnd w:id="8"/>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sz w:val="32"/>
          <w:szCs w:val="32"/>
          <w:lang w:val="en-US" w:eastAsia="zh-CN"/>
        </w:rPr>
      </w:pPr>
      <w:r>
        <w:rPr>
          <w:rFonts w:ascii="仿宋_GB2312" w:eastAsia="仿宋_GB2312" w:cs="仿宋_GB2312" w:hAnsi="仿宋_GB2312" w:hint="eastAsia"/>
          <w:sz w:val="32"/>
          <w:szCs w:val="32"/>
          <w:lang w:val="en-US" w:eastAsia="zh-CN"/>
        </w:rPr>
        <w:t>广元石窟研究所2025年收入预算1520.14万元，其中：一般公共预算拨款收入1520.14万元，占100%.</w:t>
      </w:r>
    </w:p>
    <w:p>
      <w:pPr>
        <w:pStyle w:val="3"/>
        <w:keepNext/>
        <w:keepLines/>
        <w:pageBreakBefore w:val="0"/>
        <w:widowControl w:val="0"/>
        <w:suppressLineNumbers w:val="0"/>
        <w:suppressAutoHyphens/>
        <w:kinsoku/>
        <w:wordWrap/>
        <w:overflowPunct/>
        <w:topLinePunct w:val="0"/>
        <w:autoSpaceDE/>
        <w:autoSpaceDN/>
        <w:bidi w:val="0"/>
        <w:adjustRightInd/>
        <w:snapToGrid/>
        <w:spacing w:before="0" w:after="0" w:line="576" w:lineRule="exact"/>
        <w:ind w:firstLineChars="200" w:firstLine="640"/>
        <w:textAlignment w:val="auto"/>
        <w:rPr>
          <w:rFonts w:ascii="仿宋_GB2312" w:eastAsia="仿宋_GB2312" w:cs="仿宋_GB2312" w:hAnsi="仿宋_GB2312" w:hint="eastAsia"/>
        </w:rPr>
      </w:pPr>
      <w:bookmarkStart w:id="9" w:name="_Toc32276846"/>
      <w:r>
        <w:rPr>
          <w:rFonts w:ascii="仿宋_GB2312" w:eastAsia="仿宋_GB2312" w:cs="仿宋_GB2312" w:hAnsi="仿宋_GB2312" w:hint="eastAsia"/>
        </w:rPr>
        <w:t>（二）支出预算情况</w:t>
      </w:r>
      <w:bookmarkEnd w:id="9"/>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b/>
          <w:bCs/>
          <w:sz w:val="32"/>
          <w:szCs w:val="32"/>
          <w:lang w:val="en-US" w:eastAsia="zh-CN"/>
        </w:rPr>
      </w:pPr>
      <w:r>
        <w:rPr>
          <w:rFonts w:ascii="仿宋_GB2312" w:eastAsia="仿宋_GB2312" w:cs="仿宋_GB2312" w:hAnsi="仿宋_GB2312" w:hint="eastAsia"/>
          <w:sz w:val="32"/>
          <w:szCs w:val="32"/>
          <w:lang w:val="en-US" w:eastAsia="zh-CN"/>
        </w:rPr>
        <w:t>广元石窟研究所2025年支出预算1520.14万元，其中：基本支出767.5万元，占50.49%；项目支出752.64万元，占49.51%</w:t>
      </w:r>
      <w:r>
        <w:rPr>
          <w:rFonts w:ascii="仿宋_GB2312" w:eastAsia="仿宋_GB2312" w:cs="仿宋_GB2312" w:hAnsi="仿宋_GB2312" w:hint="eastAsia"/>
          <w:b w:val="0"/>
          <w:bCs w:val="0"/>
          <w:sz w:val="32"/>
          <w:szCs w:val="32"/>
          <w:lang w:val="en-US" w:eastAsia="zh-CN"/>
        </w:rPr>
        <w:t>。</w:t>
      </w:r>
    </w:p>
    <w:p>
      <w:pPr>
        <w:pStyle w:val="2"/>
        <w:keepNext/>
        <w:keepLines/>
        <w:pageBreakBefore w:val="0"/>
        <w:widowControl w:val="0"/>
        <w:suppressLineNumbers w:val="0"/>
        <w:suppressAutoHyphens/>
        <w:kinsoku/>
        <w:wordWrap/>
        <w:overflowPunct/>
        <w:topLinePunct w:val="0"/>
        <w:autoSpaceDE/>
        <w:autoSpaceDN/>
        <w:bidi w:val="0"/>
        <w:adjustRightInd/>
        <w:snapToGrid/>
        <w:spacing w:before="0" w:after="0" w:line="576" w:lineRule="exact"/>
        <w:ind w:firstLineChars="200" w:firstLine="640"/>
        <w:textAlignment w:val="auto"/>
        <w:rPr>
          <w:rFonts w:hint="eastAsia"/>
        </w:rPr>
      </w:pPr>
      <w:bookmarkStart w:id="10" w:name="_Toc32276847"/>
      <w:r>
        <w:rPr>
          <w:rFonts w:hint="eastAsia"/>
        </w:rPr>
        <w:t>二、财政拨款收支预算情况说明</w:t>
      </w:r>
      <w:bookmarkEnd w:id="10"/>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sz w:val="32"/>
          <w:szCs w:val="32"/>
          <w:lang w:val="en-US" w:eastAsia="zh-CN"/>
        </w:rPr>
      </w:pPr>
      <w:r>
        <w:rPr>
          <w:rFonts w:ascii="仿宋_GB2312" w:eastAsia="仿宋_GB2312" w:cs="仿宋_GB2312" w:hAnsi="仿宋_GB2312"/>
          <w:sz w:val="32"/>
          <w:szCs w:val="32"/>
          <w:lang w:val="en-US" w:eastAsia="zh-CN"/>
        </w:rPr>
        <w:t>广元石窟研究所</w:t>
      </w:r>
      <w:r>
        <w:rPr>
          <w:rFonts w:ascii="仿宋_GB2312" w:eastAsia="仿宋_GB2312" w:cs="仿宋_GB2312" w:hAnsi="仿宋_GB2312" w:hint="eastAsia"/>
          <w:sz w:val="32"/>
          <w:szCs w:val="32"/>
          <w:lang w:val="en-US" w:eastAsia="zh-CN"/>
        </w:rPr>
        <w:t>2025年财政拨款收支预算总数</w:t>
      </w:r>
      <w:r>
        <w:rPr>
          <w:rFonts w:ascii="仿宋_GB2312" w:eastAsia="仿宋_GB2312" w:cs="仿宋_GB2312" w:hAnsi="仿宋_GB2312"/>
          <w:sz w:val="32"/>
          <w:szCs w:val="32"/>
          <w:lang w:val="en-US" w:eastAsia="zh-CN"/>
        </w:rPr>
        <w:t>1520.14</w:t>
      </w:r>
      <w:r>
        <w:rPr>
          <w:rFonts w:ascii="仿宋_GB2312" w:eastAsia="仿宋_GB2312" w:cs="仿宋_GB2312" w:hAnsi="仿宋_GB2312" w:hint="eastAsia"/>
          <w:sz w:val="32"/>
          <w:szCs w:val="32"/>
          <w:lang w:val="en-US" w:eastAsia="zh-CN"/>
        </w:rPr>
        <w:t>万元,比2024年财政拨款收支预算总数增加</w:t>
      </w:r>
      <w:r>
        <w:rPr>
          <w:rFonts w:ascii="仿宋_GB2312" w:eastAsia="仿宋_GB2312" w:cs="仿宋_GB2312" w:hAnsi="仿宋_GB2312"/>
          <w:sz w:val="32"/>
          <w:szCs w:val="32"/>
          <w:lang w:val="en-US" w:eastAsia="zh-CN"/>
        </w:rPr>
        <w:t>9.19</w:t>
      </w:r>
      <w:r>
        <w:rPr>
          <w:rFonts w:ascii="仿宋_GB2312" w:eastAsia="仿宋_GB2312" w:cs="仿宋_GB2312" w:hAnsi="仿宋_GB2312" w:hint="eastAsia"/>
          <w:sz w:val="32"/>
          <w:szCs w:val="32"/>
          <w:lang w:val="en-US" w:eastAsia="zh-CN"/>
        </w:rPr>
        <w:t>万元，主要原因是</w:t>
      </w:r>
      <w:r>
        <w:rPr>
          <w:rFonts w:ascii="仿宋_GB2312" w:eastAsia="仿宋_GB2312" w:cs="仿宋_GB2312" w:hAnsi="仿宋_GB2312"/>
          <w:sz w:val="32"/>
          <w:szCs w:val="32"/>
          <w:lang w:val="en-US" w:eastAsia="zh-CN"/>
        </w:rPr>
        <w:t>本年度薪级工资晋升及部分职工岗位调整。</w:t>
      </w: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sz w:val="32"/>
          <w:szCs w:val="32"/>
          <w:lang w:val="en-US" w:eastAsia="zh-CN"/>
        </w:rPr>
      </w:pPr>
      <w:r>
        <w:rPr>
          <w:rFonts w:ascii="仿宋_GB2312" w:eastAsia="仿宋_GB2312" w:cs="仿宋_GB2312" w:hAnsi="仿宋_GB2312" w:hint="eastAsia"/>
          <w:sz w:val="32"/>
          <w:szCs w:val="32"/>
          <w:lang w:val="en-US" w:eastAsia="zh-CN"/>
        </w:rPr>
        <w:t>收入包括：本年一般公共预算拨款收入</w:t>
      </w:r>
      <w:r>
        <w:rPr>
          <w:rFonts w:ascii="仿宋_GB2312" w:eastAsia="仿宋_GB2312" w:cs="仿宋_GB2312" w:hAnsi="仿宋_GB2312"/>
          <w:sz w:val="32"/>
          <w:szCs w:val="32"/>
          <w:lang w:val="en-US" w:eastAsia="zh-CN"/>
        </w:rPr>
        <w:t>1520.14</w:t>
      </w:r>
      <w:r>
        <w:rPr>
          <w:rFonts w:ascii="仿宋_GB2312" w:eastAsia="仿宋_GB2312" w:cs="仿宋_GB2312" w:hAnsi="仿宋_GB2312" w:hint="eastAsia"/>
          <w:sz w:val="32"/>
          <w:szCs w:val="32"/>
          <w:lang w:val="en-US" w:eastAsia="zh-CN"/>
        </w:rPr>
        <w:t>万元；支出包括：</w:t>
      </w:r>
      <w:r>
        <w:rPr>
          <w:rFonts w:ascii="仿宋_GB2312" w:eastAsia="仿宋_GB2312" w:cs="仿宋_GB2312" w:hAnsi="仿宋_GB2312"/>
          <w:sz w:val="32"/>
          <w:szCs w:val="32"/>
          <w:lang w:val="en-US" w:eastAsia="zh-CN"/>
        </w:rPr>
        <w:t>文化旅游体育与传媒支出1363.28万元；</w:t>
      </w:r>
      <w:r>
        <w:rPr>
          <w:rFonts w:ascii="仿宋_GB2312" w:eastAsia="仿宋_GB2312" w:cs="仿宋_GB2312" w:hAnsi="仿宋_GB2312" w:hint="eastAsia"/>
          <w:sz w:val="32"/>
          <w:szCs w:val="32"/>
          <w:lang w:val="en-US" w:eastAsia="zh-CN"/>
        </w:rPr>
        <w:t>社会保障和就业支出</w:t>
      </w:r>
      <w:r>
        <w:rPr>
          <w:rFonts w:ascii="仿宋_GB2312" w:eastAsia="仿宋_GB2312" w:cs="仿宋_GB2312" w:hAnsi="仿宋_GB2312"/>
          <w:sz w:val="32"/>
          <w:szCs w:val="32"/>
          <w:lang w:val="en-US" w:eastAsia="zh-CN"/>
        </w:rPr>
        <w:t>73.12</w:t>
      </w:r>
      <w:r>
        <w:rPr>
          <w:rFonts w:ascii="仿宋_GB2312" w:eastAsia="仿宋_GB2312" w:cs="仿宋_GB2312" w:hAnsi="仿宋_GB2312" w:hint="eastAsia"/>
          <w:sz w:val="32"/>
          <w:szCs w:val="32"/>
          <w:lang w:val="en-US" w:eastAsia="zh-CN"/>
        </w:rPr>
        <w:t>万元、卫生健康支出</w:t>
      </w:r>
      <w:r>
        <w:rPr>
          <w:rFonts w:ascii="仿宋_GB2312" w:eastAsia="仿宋_GB2312" w:cs="仿宋_GB2312" w:hAnsi="仿宋_GB2312"/>
          <w:sz w:val="32"/>
          <w:szCs w:val="32"/>
          <w:lang w:val="en-US" w:eastAsia="zh-CN"/>
        </w:rPr>
        <w:t>22.96</w:t>
      </w:r>
      <w:r>
        <w:rPr>
          <w:rFonts w:ascii="仿宋_GB2312" w:eastAsia="仿宋_GB2312" w:cs="仿宋_GB2312" w:hAnsi="仿宋_GB2312" w:hint="eastAsia"/>
          <w:sz w:val="32"/>
          <w:szCs w:val="32"/>
          <w:lang w:val="en-US" w:eastAsia="zh-CN"/>
        </w:rPr>
        <w:t>万元、住房保障支出</w:t>
      </w:r>
      <w:r>
        <w:rPr>
          <w:rFonts w:ascii="仿宋_GB2312" w:eastAsia="仿宋_GB2312" w:cs="仿宋_GB2312" w:hAnsi="仿宋_GB2312"/>
          <w:sz w:val="32"/>
          <w:szCs w:val="32"/>
          <w:lang w:val="en-US" w:eastAsia="zh-CN"/>
        </w:rPr>
        <w:t>60.78</w:t>
      </w:r>
      <w:r>
        <w:rPr>
          <w:rFonts w:ascii="仿宋_GB2312" w:eastAsia="仿宋_GB2312" w:cs="仿宋_GB2312" w:hAnsi="仿宋_GB2312" w:hint="eastAsia"/>
          <w:sz w:val="32"/>
          <w:szCs w:val="32"/>
          <w:lang w:val="en-US" w:eastAsia="zh-CN"/>
        </w:rPr>
        <w:t>万元。</w:t>
      </w:r>
    </w:p>
    <w:p>
      <w:pPr>
        <w:pStyle w:val="2"/>
        <w:keepNext/>
        <w:keepLines/>
        <w:pageBreakBefore w:val="0"/>
        <w:widowControl w:val="0"/>
        <w:suppressLineNumbers w:val="0"/>
        <w:suppressAutoHyphens/>
        <w:kinsoku/>
        <w:wordWrap/>
        <w:overflowPunct/>
        <w:topLinePunct w:val="0"/>
        <w:autoSpaceDE/>
        <w:autoSpaceDN/>
        <w:bidi w:val="0"/>
        <w:adjustRightInd/>
        <w:snapToGrid/>
        <w:spacing w:before="0" w:after="0" w:line="576" w:lineRule="exact"/>
        <w:ind w:firstLineChars="200" w:firstLine="640"/>
        <w:textAlignment w:val="auto"/>
        <w:rPr>
          <w:rFonts w:hint="eastAsia"/>
        </w:rPr>
      </w:pPr>
      <w:bookmarkStart w:id="11" w:name="_Toc32276848"/>
      <w:r>
        <w:rPr>
          <w:rFonts w:hint="eastAsia"/>
        </w:rPr>
        <w:t>三、一般公共预算当年拨款情况说明</w:t>
      </w:r>
      <w:bookmarkEnd w:id="11"/>
    </w:p>
    <w:p>
      <w:pPr>
        <w:pStyle w:val="3"/>
        <w:keepNext/>
        <w:keepLines/>
        <w:pageBreakBefore w:val="0"/>
        <w:widowControl w:val="0"/>
        <w:suppressLineNumbers w:val="0"/>
        <w:suppressAutoHyphens/>
        <w:kinsoku/>
        <w:wordWrap/>
        <w:overflowPunct/>
        <w:topLinePunct w:val="0"/>
        <w:autoSpaceDE/>
        <w:autoSpaceDN/>
        <w:bidi w:val="0"/>
        <w:adjustRightInd/>
        <w:snapToGrid/>
        <w:spacing w:before="0" w:after="0" w:line="576" w:lineRule="exact"/>
        <w:ind w:firstLineChars="200" w:firstLine="640"/>
        <w:textAlignment w:val="auto"/>
        <w:rPr>
          <w:rFonts w:hint="eastAsia"/>
        </w:rPr>
      </w:pPr>
      <w:bookmarkStart w:id="12" w:name="_Toc32276849"/>
      <w:r>
        <w:rPr>
          <w:rFonts w:hint="eastAsia"/>
        </w:rPr>
        <w:t>（一）一般公共预算当年拨款规模变化情况</w:t>
      </w:r>
      <w:bookmarkEnd w:id="12"/>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sz w:val="32"/>
          <w:szCs w:val="32"/>
          <w:lang w:val="en-US" w:eastAsia="zh-CN"/>
        </w:rPr>
      </w:pPr>
      <w:r>
        <w:rPr>
          <w:rFonts w:ascii="仿宋_GB2312" w:eastAsia="仿宋_GB2312" w:cs="仿宋_GB2312" w:hAnsi="仿宋_GB2312"/>
          <w:sz w:val="32"/>
          <w:szCs w:val="32"/>
          <w:lang w:val="en-US" w:eastAsia="zh-CN"/>
        </w:rPr>
        <w:t>广元石窟研究所</w:t>
      </w:r>
      <w:r>
        <w:rPr>
          <w:rFonts w:ascii="仿宋_GB2312" w:eastAsia="仿宋_GB2312" w:cs="仿宋_GB2312" w:hAnsi="仿宋_GB2312" w:hint="eastAsia"/>
          <w:sz w:val="32"/>
          <w:szCs w:val="32"/>
          <w:lang w:val="en-US" w:eastAsia="zh-CN"/>
        </w:rPr>
        <w:t>2025年一般公共预算当年拨款</w:t>
      </w:r>
      <w:r>
        <w:rPr>
          <w:rFonts w:ascii="仿宋_GB2312" w:eastAsia="仿宋_GB2312" w:cs="仿宋_GB2312" w:hAnsi="仿宋_GB2312"/>
          <w:sz w:val="32"/>
          <w:szCs w:val="32"/>
          <w:lang w:val="en-US" w:eastAsia="zh-CN"/>
        </w:rPr>
        <w:t>1520.14</w:t>
      </w:r>
      <w:r>
        <w:rPr>
          <w:rFonts w:ascii="仿宋_GB2312" w:eastAsia="仿宋_GB2312" w:cs="仿宋_GB2312" w:hAnsi="仿宋_GB2312" w:hint="eastAsia"/>
          <w:sz w:val="32"/>
          <w:szCs w:val="32"/>
          <w:lang w:val="en-US" w:eastAsia="zh-CN"/>
        </w:rPr>
        <w:t>万元，比2024年预算数增加</w:t>
      </w:r>
      <w:r>
        <w:rPr>
          <w:rFonts w:ascii="仿宋_GB2312" w:eastAsia="仿宋_GB2312" w:cs="仿宋_GB2312" w:hAnsi="仿宋_GB2312"/>
          <w:sz w:val="32"/>
          <w:szCs w:val="32"/>
          <w:lang w:val="en-US" w:eastAsia="zh-CN"/>
        </w:rPr>
        <w:t>9.19</w:t>
      </w:r>
      <w:r>
        <w:rPr>
          <w:rFonts w:ascii="仿宋_GB2312" w:eastAsia="仿宋_GB2312" w:cs="仿宋_GB2312" w:hAnsi="仿宋_GB2312" w:hint="eastAsia"/>
          <w:sz w:val="32"/>
          <w:szCs w:val="32"/>
          <w:lang w:val="en-US" w:eastAsia="zh-CN"/>
        </w:rPr>
        <w:t>万元，主要原因是</w:t>
      </w:r>
      <w:r>
        <w:rPr>
          <w:rFonts w:ascii="仿宋_GB2312" w:eastAsia="仿宋_GB2312" w:cs="仿宋_GB2312" w:hAnsi="仿宋_GB2312"/>
          <w:sz w:val="32"/>
          <w:szCs w:val="32"/>
          <w:lang w:val="en-US" w:eastAsia="zh-CN"/>
        </w:rPr>
        <w:t>本年度薪级工资晋升及部分职工岗位调整。</w:t>
      </w:r>
    </w:p>
    <w:p>
      <w:pPr>
        <w:pStyle w:val="3"/>
        <w:keepNext/>
        <w:keepLines/>
        <w:pageBreakBefore w:val="0"/>
        <w:widowControl w:val="0"/>
        <w:suppressLineNumbers w:val="0"/>
        <w:suppressAutoHyphens/>
        <w:kinsoku/>
        <w:wordWrap/>
        <w:overflowPunct/>
        <w:topLinePunct w:val="0"/>
        <w:autoSpaceDE/>
        <w:autoSpaceDN/>
        <w:bidi w:val="0"/>
        <w:adjustRightInd/>
        <w:snapToGrid/>
        <w:spacing w:before="0" w:after="0" w:line="576" w:lineRule="exact"/>
        <w:ind w:firstLineChars="200" w:firstLine="640"/>
        <w:textAlignment w:val="auto"/>
        <w:rPr>
          <w:rFonts w:hint="eastAsia"/>
        </w:rPr>
      </w:pPr>
      <w:bookmarkStart w:id="13" w:name="_Toc32276850"/>
      <w:r>
        <w:rPr>
          <w:rFonts w:hint="eastAsia"/>
        </w:rPr>
        <w:t>（二）一般公共预算当年拨款结构情况</w:t>
      </w:r>
      <w:bookmarkEnd w:id="13"/>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sz w:val="32"/>
          <w:szCs w:val="32"/>
        </w:rPr>
      </w:pPr>
      <w:r>
        <w:rPr>
          <w:rFonts w:ascii="仿宋_GB2312" w:eastAsia="仿宋_GB2312" w:cs="仿宋_GB2312" w:hAnsi="仿宋_GB2312"/>
          <w:sz w:val="32"/>
          <w:szCs w:val="32"/>
          <w:lang w:val="en-US" w:eastAsia="zh-CN"/>
        </w:rPr>
        <w:t>文化旅游体育与传媒</w:t>
      </w:r>
      <w:r>
        <w:rPr>
          <w:rFonts w:ascii="仿宋_GB2312" w:eastAsia="仿宋_GB2312" w:cs="仿宋_GB2312" w:hAnsi="仿宋_GB2312" w:hint="eastAsia"/>
          <w:sz w:val="32"/>
          <w:szCs w:val="32"/>
          <w:lang w:val="en-US" w:eastAsia="zh-CN"/>
        </w:rPr>
        <w:t>支出</w:t>
      </w:r>
      <w:r>
        <w:rPr>
          <w:rFonts w:ascii="仿宋_GB2312" w:eastAsia="仿宋_GB2312" w:cs="仿宋_GB2312" w:hAnsi="仿宋_GB2312"/>
          <w:sz w:val="32"/>
          <w:szCs w:val="32"/>
          <w:lang w:val="en-US" w:eastAsia="zh-CN"/>
        </w:rPr>
        <w:t>1363.28</w:t>
      </w:r>
      <w:r>
        <w:rPr>
          <w:rFonts w:ascii="仿宋_GB2312" w:eastAsia="仿宋_GB2312" w:cs="仿宋_GB2312" w:hAnsi="仿宋_GB2312" w:hint="eastAsia"/>
          <w:sz w:val="32"/>
          <w:szCs w:val="32"/>
          <w:lang w:val="en-US" w:eastAsia="zh-CN"/>
        </w:rPr>
        <w:t>万元，占</w:t>
      </w:r>
      <w:r>
        <w:rPr>
          <w:rFonts w:ascii="仿宋_GB2312" w:eastAsia="仿宋_GB2312" w:cs="仿宋_GB2312" w:hAnsi="仿宋_GB2312"/>
          <w:sz w:val="32"/>
          <w:szCs w:val="32"/>
          <w:lang w:val="en-US" w:eastAsia="zh-CN"/>
        </w:rPr>
        <w:t>89.68</w:t>
      </w:r>
      <w:r>
        <w:rPr>
          <w:rFonts w:ascii="仿宋_GB2312" w:eastAsia="仿宋_GB2312" w:cs="仿宋_GB2312" w:hAnsi="仿宋_GB2312" w:hint="eastAsia"/>
          <w:sz w:val="32"/>
          <w:szCs w:val="32"/>
          <w:lang w:val="en-US" w:eastAsia="zh-CN"/>
        </w:rPr>
        <w:t>%；社会保障和就业支出</w:t>
      </w:r>
      <w:r>
        <w:rPr>
          <w:rFonts w:ascii="仿宋_GB2312" w:eastAsia="仿宋_GB2312" w:cs="仿宋_GB2312" w:hAnsi="仿宋_GB2312"/>
          <w:sz w:val="32"/>
          <w:szCs w:val="32"/>
          <w:lang w:val="en-US" w:eastAsia="zh-CN"/>
        </w:rPr>
        <w:t>73.12</w:t>
      </w:r>
      <w:r>
        <w:rPr>
          <w:rFonts w:ascii="仿宋_GB2312" w:eastAsia="仿宋_GB2312" w:cs="仿宋_GB2312" w:hAnsi="仿宋_GB2312" w:hint="eastAsia"/>
          <w:sz w:val="32"/>
          <w:szCs w:val="32"/>
          <w:lang w:val="en-US" w:eastAsia="zh-CN"/>
        </w:rPr>
        <w:t>万元，占</w:t>
      </w:r>
      <w:r>
        <w:rPr>
          <w:rFonts w:ascii="仿宋_GB2312" w:eastAsia="仿宋_GB2312" w:cs="仿宋_GB2312" w:hAnsi="仿宋_GB2312"/>
          <w:sz w:val="32"/>
          <w:szCs w:val="32"/>
          <w:lang w:val="en-US" w:eastAsia="zh-CN"/>
        </w:rPr>
        <w:t>4.81</w:t>
      </w:r>
      <w:r>
        <w:rPr>
          <w:rFonts w:ascii="仿宋_GB2312" w:eastAsia="仿宋_GB2312" w:cs="仿宋_GB2312" w:hAnsi="仿宋_GB2312" w:hint="eastAsia"/>
          <w:sz w:val="32"/>
          <w:szCs w:val="32"/>
          <w:lang w:val="en-US" w:eastAsia="zh-CN"/>
        </w:rPr>
        <w:t>%；卫生健康支出</w:t>
      </w:r>
      <w:r>
        <w:rPr>
          <w:rFonts w:ascii="仿宋_GB2312" w:eastAsia="仿宋_GB2312" w:cs="仿宋_GB2312" w:hAnsi="仿宋_GB2312"/>
          <w:sz w:val="32"/>
          <w:szCs w:val="32"/>
          <w:lang w:val="en-US" w:eastAsia="zh-CN"/>
        </w:rPr>
        <w:t>22.96万元，占1.51%；</w:t>
      </w:r>
      <w:r>
        <w:rPr>
          <w:rFonts w:ascii="仿宋_GB2312" w:eastAsia="仿宋_GB2312" w:cs="仿宋_GB2312" w:hAnsi="仿宋_GB2312" w:hint="eastAsia"/>
          <w:sz w:val="32"/>
          <w:szCs w:val="32"/>
          <w:lang w:val="en-US" w:eastAsia="zh-CN"/>
        </w:rPr>
        <w:t>住房保障支出</w:t>
      </w:r>
      <w:r>
        <w:rPr>
          <w:rFonts w:ascii="仿宋_GB2312" w:eastAsia="仿宋_GB2312" w:cs="仿宋_GB2312" w:hAnsi="仿宋_GB2312"/>
          <w:sz w:val="32"/>
          <w:szCs w:val="32"/>
          <w:lang w:val="en-US" w:eastAsia="zh-CN"/>
        </w:rPr>
        <w:t>60.78</w:t>
      </w:r>
      <w:r>
        <w:rPr>
          <w:rFonts w:ascii="仿宋_GB2312" w:eastAsia="仿宋_GB2312" w:cs="仿宋_GB2312" w:hAnsi="仿宋_GB2312" w:hint="eastAsia"/>
          <w:sz w:val="32"/>
          <w:szCs w:val="32"/>
          <w:lang w:val="en-US" w:eastAsia="zh-CN"/>
        </w:rPr>
        <w:t>万元，占</w:t>
      </w:r>
      <w:r>
        <w:rPr>
          <w:rFonts w:ascii="仿宋_GB2312" w:eastAsia="仿宋_GB2312" w:cs="仿宋_GB2312" w:hAnsi="仿宋_GB2312"/>
          <w:sz w:val="32"/>
          <w:szCs w:val="32"/>
          <w:lang w:val="en-US" w:eastAsia="zh-CN"/>
        </w:rPr>
        <w:t>4</w:t>
      </w:r>
      <w:r>
        <w:rPr>
          <w:rFonts w:ascii="仿宋_GB2312" w:eastAsia="仿宋_GB2312" w:cs="仿宋_GB2312" w:hAnsi="仿宋_GB2312" w:hint="eastAsia"/>
          <w:sz w:val="32"/>
          <w:szCs w:val="32"/>
          <w:lang w:val="en-US" w:eastAsia="zh-CN"/>
        </w:rPr>
        <w:t>%。</w:t>
      </w:r>
    </w:p>
    <w:p>
      <w:pPr>
        <w:pStyle w:val="3"/>
        <w:keepNext/>
        <w:keepLines/>
        <w:pageBreakBefore w:val="0"/>
        <w:widowControl w:val="0"/>
        <w:suppressLineNumbers w:val="0"/>
        <w:suppressAutoHyphens/>
        <w:kinsoku/>
        <w:wordWrap/>
        <w:overflowPunct/>
        <w:topLinePunct w:val="0"/>
        <w:autoSpaceDE/>
        <w:autoSpaceDN/>
        <w:bidi w:val="0"/>
        <w:adjustRightInd/>
        <w:snapToGrid/>
        <w:spacing w:before="0" w:after="0" w:line="576" w:lineRule="exact"/>
        <w:ind w:firstLineChars="200" w:firstLine="640"/>
        <w:textAlignment w:val="auto"/>
      </w:pPr>
      <w:bookmarkStart w:id="14" w:name="_Toc32276851"/>
      <w:r>
        <w:rPr>
          <w:rFonts w:hint="eastAsia"/>
        </w:rPr>
        <w:t>（三）一般公共预算当年拨款具体使用情况</w:t>
      </w:r>
      <w:bookmarkEnd w:id="14"/>
    </w:p>
    <w:p>
      <w:pPr>
        <w:keepNext w:val="0"/>
        <w:keepLines w:val="0"/>
        <w:pageBreakBefore w:val="0"/>
        <w:widowControl/>
        <w:suppressLineNumbers w:val="0"/>
        <w:pBdr>
          <w:top w:val="none" w:sz="0" w:space="0" w:color="auto"/>
          <w:left w:val="none" w:sz="0" w:space="0" w:color="auto"/>
          <w:bottom w:val="none" w:sz="0" w:space="0" w:color="auto"/>
          <w:right w:val="none" w:sz="0" w:space="0" w:color="auto"/>
        </w:pBdr>
        <w:shd w:val="clear" w:color="auto" w:fill="FFFFFF"/>
        <w:suppressAutoHyphens/>
        <w:kinsoku/>
        <w:wordWrap/>
        <w:overflowPunct/>
        <w:topLinePunct w:val="0"/>
        <w:autoSpaceDE/>
        <w:autoSpaceDN/>
        <w:bidi w:val="0"/>
        <w:adjustRightInd/>
        <w:snapToGrid/>
        <w:spacing w:line="576" w:lineRule="exact"/>
        <w:ind w:left="0" w:firstLine="668"/>
        <w:textAlignment w:val="auto"/>
        <w:rPr>
          <w:rFonts w:ascii="仿宋_GB2312" w:eastAsia="仿宋_GB2312" w:cs="仿宋_GB2312" w:hAnsi="仿宋_GB2312" w:hint="eastAsia"/>
          <w:sz w:val="32"/>
          <w:szCs w:val="32"/>
          <w:lang w:bidi="ar-SA"/>
        </w:rPr>
      </w:pPr>
      <w:r>
        <w:rPr>
          <w:rFonts w:ascii="仿宋_GB2312" w:eastAsia="仿宋_GB2312" w:cs="仿宋_GB2312" w:hAnsi="仿宋_GB2312"/>
          <w:sz w:val="32"/>
          <w:szCs w:val="32"/>
          <w:lang w:val="en-US" w:eastAsia="zh-CN"/>
        </w:rPr>
        <w:t>1.文化旅游体育与传媒支出</w:t>
      </w:r>
      <w:r>
        <w:rPr>
          <w:rFonts w:ascii="仿宋_GB2312" w:eastAsia="仿宋_GB2312" w:cs="仿宋_GB2312" w:hAnsi="仿宋_GB2312" w:hint="eastAsia"/>
          <w:sz w:val="32"/>
          <w:szCs w:val="32"/>
          <w:lang w:val="en-US" w:eastAsia="zh-CN"/>
        </w:rPr>
        <w:t>（类）</w:t>
      </w:r>
      <w:r>
        <w:rPr>
          <w:rFonts w:ascii="仿宋_GB2312" w:eastAsia="仿宋_GB2312" w:cs="仿宋_GB2312" w:hAnsi="仿宋_GB2312"/>
          <w:sz w:val="32"/>
          <w:szCs w:val="32"/>
          <w:lang w:val="en-US" w:eastAsia="zh-CN"/>
        </w:rPr>
        <w:t>文物</w:t>
      </w:r>
      <w:r>
        <w:rPr>
          <w:rFonts w:ascii="仿宋_GB2312" w:eastAsia="仿宋_GB2312" w:cs="仿宋_GB2312" w:hAnsi="仿宋_GB2312" w:hint="eastAsia"/>
          <w:sz w:val="32"/>
          <w:szCs w:val="32"/>
          <w:lang w:val="en-US" w:eastAsia="zh-CN"/>
        </w:rPr>
        <w:t>（款）</w:t>
      </w:r>
      <w:r>
        <w:rPr>
          <w:rFonts w:ascii="仿宋_GB2312" w:eastAsia="仿宋_GB2312" w:cs="仿宋_GB2312" w:hAnsi="仿宋_GB2312"/>
          <w:sz w:val="32"/>
          <w:szCs w:val="32"/>
          <w:lang w:val="en-US" w:eastAsia="zh-CN"/>
        </w:rPr>
        <w:t>博物馆</w:t>
      </w:r>
      <w:r>
        <w:rPr>
          <w:rFonts w:ascii="仿宋_GB2312" w:eastAsia="仿宋_GB2312" w:cs="仿宋_GB2312" w:hAnsi="仿宋_GB2312" w:hint="eastAsia"/>
          <w:sz w:val="32"/>
          <w:szCs w:val="32"/>
          <w:lang w:val="en-US" w:eastAsia="zh-CN"/>
        </w:rPr>
        <w:t>（项）202</w:t>
      </w:r>
      <w:r>
        <w:rPr>
          <w:rFonts w:ascii="仿宋_GB2312" w:eastAsia="仿宋_GB2312" w:cs="仿宋_GB2312" w:hAnsi="仿宋_GB2312"/>
          <w:sz w:val="32"/>
          <w:szCs w:val="32"/>
          <w:lang w:val="en-US" w:eastAsia="zh-CN"/>
        </w:rPr>
        <w:t>5</w:t>
      </w:r>
      <w:r>
        <w:rPr>
          <w:rFonts w:ascii="仿宋_GB2312" w:eastAsia="仿宋_GB2312" w:cs="仿宋_GB2312" w:hAnsi="仿宋_GB2312" w:hint="eastAsia"/>
          <w:sz w:val="32"/>
          <w:szCs w:val="32"/>
          <w:lang w:val="en-US" w:eastAsia="zh-CN"/>
        </w:rPr>
        <w:t>年预算数为</w:t>
      </w:r>
      <w:r>
        <w:rPr>
          <w:rFonts w:ascii="仿宋_GB2312" w:eastAsia="仿宋_GB2312" w:cs="仿宋_GB2312" w:hAnsi="仿宋_GB2312"/>
          <w:sz w:val="32"/>
          <w:szCs w:val="32"/>
          <w:lang w:val="en-US" w:eastAsia="zh-CN"/>
        </w:rPr>
        <w:t>1363.28</w:t>
      </w:r>
      <w:r>
        <w:rPr>
          <w:rFonts w:ascii="仿宋_GB2312" w:eastAsia="仿宋_GB2312" w:cs="仿宋_GB2312" w:hAnsi="仿宋_GB2312" w:hint="eastAsia"/>
          <w:sz w:val="32"/>
          <w:szCs w:val="32"/>
          <w:lang w:val="en-US" w:eastAsia="zh-CN"/>
        </w:rPr>
        <w:t>万元，主要用于：</w:t>
      </w:r>
      <w:r>
        <w:rPr>
          <w:rFonts w:ascii="仿宋_GB2312" w:eastAsia="仿宋_GB2312" w:cs="仿宋_GB2312" w:hAnsi="仿宋_GB2312" w:hint="eastAsia"/>
          <w:sz w:val="32"/>
          <w:szCs w:val="32"/>
        </w:rPr>
        <w:t>工资奖金津补贴、社会保障缴费、其他工资福利支出、办公费、印刷费、水</w:t>
      </w:r>
      <w:r>
        <w:rPr>
          <w:rFonts w:ascii="仿宋_GB2312" w:eastAsia="仿宋_GB2312" w:cs="仿宋_GB2312" w:hAnsi="仿宋_GB2312"/>
          <w:sz w:val="32"/>
          <w:szCs w:val="32"/>
        </w:rPr>
        <w:t>费、</w:t>
      </w:r>
      <w:r>
        <w:rPr>
          <w:rFonts w:ascii="仿宋_GB2312" w:eastAsia="仿宋_GB2312" w:cs="仿宋_GB2312" w:hAnsi="仿宋_GB2312" w:hint="eastAsia"/>
          <w:sz w:val="32"/>
          <w:szCs w:val="32"/>
        </w:rPr>
        <w:t>电费、</w:t>
      </w:r>
      <w:r>
        <w:rPr>
          <w:rFonts w:ascii="仿宋_GB2312" w:eastAsia="仿宋_GB2312" w:cs="仿宋_GB2312" w:hAnsi="仿宋_GB2312"/>
          <w:sz w:val="32"/>
          <w:szCs w:val="32"/>
        </w:rPr>
        <w:t>邮电费、物业管理费、</w:t>
      </w:r>
      <w:r>
        <w:rPr>
          <w:rFonts w:ascii="仿宋_GB2312" w:eastAsia="仿宋_GB2312" w:cs="仿宋_GB2312" w:hAnsi="仿宋_GB2312" w:hint="eastAsia"/>
          <w:sz w:val="32"/>
          <w:szCs w:val="32"/>
        </w:rPr>
        <w:t>差旅费、维修</w:t>
      </w:r>
      <w:r>
        <w:rPr>
          <w:rFonts w:ascii="仿宋_GB2312" w:eastAsia="仿宋_GB2312" w:cs="仿宋_GB2312" w:hAnsi="仿宋_GB2312"/>
          <w:sz w:val="32"/>
          <w:szCs w:val="32"/>
        </w:rPr>
        <w:t>（</w:t>
      </w:r>
      <w:r>
        <w:rPr>
          <w:rFonts w:ascii="仿宋_GB2312" w:eastAsia="仿宋_GB2312" w:cs="仿宋_GB2312" w:hAnsi="仿宋_GB2312" w:hint="eastAsia"/>
          <w:sz w:val="32"/>
          <w:szCs w:val="32"/>
        </w:rPr>
        <w:t>护</w:t>
      </w:r>
      <w:r>
        <w:rPr>
          <w:rFonts w:ascii="仿宋_GB2312" w:eastAsia="仿宋_GB2312" w:cs="仿宋_GB2312" w:hAnsi="仿宋_GB2312"/>
          <w:sz w:val="32"/>
          <w:szCs w:val="32"/>
        </w:rPr>
        <w:t>）</w:t>
      </w:r>
      <w:r>
        <w:rPr>
          <w:rFonts w:ascii="仿宋_GB2312" w:eastAsia="仿宋_GB2312" w:cs="仿宋_GB2312" w:hAnsi="仿宋_GB2312" w:hint="eastAsia"/>
          <w:sz w:val="32"/>
          <w:szCs w:val="32"/>
        </w:rPr>
        <w:t>费、</w:t>
      </w:r>
      <w:r>
        <w:rPr>
          <w:rFonts w:ascii="仿宋_GB2312" w:eastAsia="仿宋_GB2312" w:cs="仿宋_GB2312" w:hAnsi="仿宋_GB2312"/>
          <w:sz w:val="32"/>
          <w:szCs w:val="32"/>
        </w:rPr>
        <w:t>培训费、</w:t>
      </w:r>
      <w:r>
        <w:rPr>
          <w:rFonts w:ascii="仿宋_GB2312" w:eastAsia="仿宋_GB2312" w:cs="仿宋_GB2312" w:hAnsi="仿宋_GB2312" w:hint="eastAsia"/>
          <w:sz w:val="32"/>
          <w:szCs w:val="32"/>
        </w:rPr>
        <w:t>工会经费、福利费、公务接待费、公务用车运行维护费、</w:t>
      </w:r>
      <w:r>
        <w:rPr>
          <w:rFonts w:ascii="仿宋_GB2312" w:eastAsia="仿宋_GB2312" w:cs="仿宋_GB2312" w:hAnsi="仿宋_GB2312"/>
          <w:sz w:val="32"/>
          <w:szCs w:val="32"/>
        </w:rPr>
        <w:t>退休人员活动经费</w:t>
      </w:r>
      <w:r>
        <w:rPr>
          <w:rFonts w:ascii="仿宋_GB2312" w:eastAsia="仿宋_GB2312" w:cs="仿宋_GB2312" w:hAnsi="仿宋_GB2312" w:hint="eastAsia"/>
          <w:sz w:val="32"/>
          <w:szCs w:val="32"/>
        </w:rPr>
        <w:t>、党建经费、其他商品和服务支出、</w:t>
      </w:r>
      <w:r>
        <w:rPr>
          <w:rFonts w:ascii="仿宋_GB2312" w:eastAsia="仿宋_GB2312" w:cs="仿宋_GB2312" w:hAnsi="仿宋_GB2312"/>
          <w:sz w:val="32"/>
          <w:szCs w:val="32"/>
        </w:rPr>
        <w:t>对个人和家庭的补助、</w:t>
      </w:r>
      <w:r>
        <w:rPr>
          <w:rFonts w:ascii="仿宋_GB2312" w:eastAsia="仿宋_GB2312" w:cs="仿宋_GB2312" w:hAnsi="仿宋_GB2312" w:hint="eastAsia"/>
          <w:sz w:val="32"/>
          <w:szCs w:val="32"/>
        </w:rPr>
        <w:t>资本性支出等。</w:t>
      </w: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sz w:val="32"/>
          <w:szCs w:val="32"/>
          <w:lang w:val="en-US" w:eastAsia="zh-CN"/>
        </w:rPr>
      </w:pPr>
      <w:r>
        <w:rPr>
          <w:rFonts w:ascii="仿宋_GB2312" w:eastAsia="仿宋_GB2312" w:cs="仿宋_GB2312" w:hAnsi="仿宋_GB2312"/>
          <w:sz w:val="32"/>
          <w:szCs w:val="32"/>
          <w:lang w:val="en-US" w:eastAsia="zh-CN"/>
        </w:rPr>
        <w:t>2</w:t>
      </w:r>
      <w:r>
        <w:rPr>
          <w:rFonts w:ascii="仿宋_GB2312" w:eastAsia="仿宋_GB2312" w:cs="仿宋_GB2312" w:hAnsi="仿宋_GB2312" w:hint="eastAsia"/>
          <w:sz w:val="32"/>
          <w:szCs w:val="32"/>
          <w:lang w:val="en-US" w:eastAsia="zh-CN"/>
        </w:rPr>
        <w:t>.社会保障和就业（类）行政事业单位养老支出（款）机关事业单位基本养老保险缴费支出（项）202</w:t>
      </w:r>
      <w:r>
        <w:rPr>
          <w:rFonts w:ascii="仿宋_GB2312" w:eastAsia="仿宋_GB2312" w:cs="仿宋_GB2312" w:hAnsi="仿宋_GB2312"/>
          <w:sz w:val="32"/>
          <w:szCs w:val="32"/>
          <w:lang w:val="en-US" w:eastAsia="zh-CN"/>
        </w:rPr>
        <w:t>5</w:t>
      </w:r>
      <w:r>
        <w:rPr>
          <w:rFonts w:ascii="仿宋_GB2312" w:eastAsia="仿宋_GB2312" w:cs="仿宋_GB2312" w:hAnsi="仿宋_GB2312" w:hint="eastAsia"/>
          <w:sz w:val="32"/>
          <w:szCs w:val="32"/>
          <w:lang w:val="en-US" w:eastAsia="zh-CN"/>
        </w:rPr>
        <w:t>年预算数为70.4万元，主要用于：实施养老保险制度由单位缴纳的基本养老保险支出。</w:t>
      </w: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sz w:val="32"/>
          <w:szCs w:val="32"/>
          <w:lang w:val="en-US" w:eastAsia="zh-CN"/>
        </w:rPr>
      </w:pPr>
      <w:r>
        <w:rPr>
          <w:rFonts w:ascii="仿宋_GB2312" w:eastAsia="仿宋_GB2312" w:cs="仿宋_GB2312" w:hAnsi="仿宋_GB2312" w:hint="eastAsia"/>
          <w:sz w:val="32"/>
          <w:szCs w:val="32"/>
          <w:lang w:val="en-US" w:eastAsia="zh-CN"/>
        </w:rPr>
        <w:t>3.社会保障和就业（类）其他社会保障和就业支出（款）其他社会保障和就业支出（项）202</w:t>
      </w:r>
      <w:r>
        <w:rPr>
          <w:rFonts w:ascii="仿宋_GB2312" w:eastAsia="仿宋_GB2312" w:cs="仿宋_GB2312" w:hAnsi="仿宋_GB2312"/>
          <w:sz w:val="32"/>
          <w:szCs w:val="32"/>
          <w:lang w:val="en-US" w:eastAsia="zh-CN"/>
        </w:rPr>
        <w:t>5</w:t>
      </w:r>
      <w:r>
        <w:rPr>
          <w:rFonts w:ascii="仿宋_GB2312" w:eastAsia="仿宋_GB2312" w:cs="仿宋_GB2312" w:hAnsi="仿宋_GB2312" w:hint="eastAsia"/>
          <w:sz w:val="32"/>
          <w:szCs w:val="32"/>
          <w:lang w:val="en-US" w:eastAsia="zh-CN"/>
        </w:rPr>
        <w:t>年预算数为2.72万元，主要用于：按规定为职工缴纳的的工伤、失业保</w:t>
      </w:r>
      <w:r>
        <w:rPr>
          <w:rFonts w:ascii="仿宋_GB2312" w:eastAsia="仿宋_GB2312" w:cs="仿宋_GB2312" w:hAnsi="仿宋_GB2312" w:hint="eastAsia"/>
          <w:sz w:val="32"/>
          <w:szCs w:val="32"/>
          <w:lang w:val="en-US" w:eastAsia="zh-CN"/>
          <w:highlight w:val="auto"/>
        </w:rPr>
        <w:t>险支出。</w:t>
      </w: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sz w:val="32"/>
          <w:szCs w:val="32"/>
        </w:rPr>
      </w:pPr>
      <w:r>
        <w:rPr>
          <w:rFonts w:ascii="仿宋_GB2312" w:eastAsia="仿宋_GB2312" w:cs="仿宋_GB2312" w:hAnsi="仿宋_GB2312" w:hint="eastAsia"/>
          <w:sz w:val="32"/>
          <w:szCs w:val="32"/>
          <w:lang w:val="en-US" w:eastAsia="zh-CN"/>
        </w:rPr>
        <w:t>4.卫生健康（类）行政事业单位医疗（款）事业单位医疗（项）202</w:t>
      </w:r>
      <w:r>
        <w:rPr>
          <w:rFonts w:ascii="仿宋_GB2312" w:eastAsia="仿宋_GB2312" w:cs="仿宋_GB2312" w:hAnsi="仿宋_GB2312"/>
          <w:sz w:val="32"/>
          <w:szCs w:val="32"/>
          <w:lang w:val="en-US" w:eastAsia="zh-CN"/>
        </w:rPr>
        <w:t>5</w:t>
      </w:r>
      <w:r>
        <w:rPr>
          <w:rFonts w:ascii="仿宋_GB2312" w:eastAsia="仿宋_GB2312" w:cs="仿宋_GB2312" w:hAnsi="仿宋_GB2312" w:hint="eastAsia"/>
          <w:sz w:val="32"/>
          <w:szCs w:val="32"/>
          <w:lang w:val="en-US" w:eastAsia="zh-CN"/>
        </w:rPr>
        <w:t>年预算数为</w:t>
      </w:r>
      <w:r>
        <w:rPr>
          <w:rFonts w:ascii="仿宋_GB2312" w:eastAsia="仿宋_GB2312" w:cs="仿宋_GB2312" w:hAnsi="仿宋_GB2312"/>
          <w:sz w:val="32"/>
          <w:szCs w:val="32"/>
          <w:lang w:val="en-US" w:eastAsia="zh-CN"/>
        </w:rPr>
        <w:t>22.96</w:t>
      </w:r>
      <w:r>
        <w:rPr>
          <w:rFonts w:ascii="仿宋_GB2312" w:eastAsia="仿宋_GB2312" w:cs="仿宋_GB2312" w:hAnsi="仿宋_GB2312" w:hint="eastAsia"/>
          <w:sz w:val="32"/>
          <w:szCs w:val="32"/>
          <w:lang w:val="en-US" w:eastAsia="zh-CN"/>
        </w:rPr>
        <w:t>万元，主要用于：事业单位按规定由单位缴纳的基本医疗保险支出。</w:t>
      </w: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sz w:val="32"/>
          <w:szCs w:val="32"/>
        </w:rPr>
      </w:pPr>
      <w:r>
        <w:rPr>
          <w:rFonts w:ascii="仿宋_GB2312" w:eastAsia="仿宋_GB2312" w:cs="仿宋_GB2312" w:hAnsi="仿宋_GB2312" w:hint="eastAsia"/>
          <w:sz w:val="32"/>
          <w:szCs w:val="32"/>
          <w:lang w:val="en-US" w:eastAsia="zh-CN"/>
        </w:rPr>
        <w:t>5.住房保障（类）住房改革支出（款）住房公积金（项）202</w:t>
      </w:r>
      <w:r>
        <w:rPr>
          <w:rFonts w:ascii="仿宋_GB2312" w:eastAsia="仿宋_GB2312" w:cs="仿宋_GB2312" w:hAnsi="仿宋_GB2312"/>
          <w:sz w:val="32"/>
          <w:szCs w:val="32"/>
          <w:lang w:val="en-US" w:eastAsia="zh-CN"/>
        </w:rPr>
        <w:t>5</w:t>
      </w:r>
      <w:r>
        <w:rPr>
          <w:rFonts w:ascii="仿宋_GB2312" w:eastAsia="仿宋_GB2312" w:cs="仿宋_GB2312" w:hAnsi="仿宋_GB2312" w:hint="eastAsia"/>
          <w:sz w:val="32"/>
          <w:szCs w:val="32"/>
          <w:lang w:val="en-US" w:eastAsia="zh-CN"/>
        </w:rPr>
        <w:t>年预算数为</w:t>
      </w:r>
      <w:r>
        <w:rPr>
          <w:rFonts w:ascii="仿宋_GB2312" w:eastAsia="仿宋_GB2312" w:cs="仿宋_GB2312" w:hAnsi="仿宋_GB2312"/>
          <w:sz w:val="32"/>
          <w:szCs w:val="32"/>
          <w:lang w:val="en-US" w:eastAsia="zh-CN"/>
        </w:rPr>
        <w:t>60.78</w:t>
      </w:r>
      <w:r>
        <w:rPr>
          <w:rFonts w:ascii="仿宋_GB2312" w:eastAsia="仿宋_GB2312" w:cs="仿宋_GB2312" w:hAnsi="仿宋_GB2312" w:hint="eastAsia"/>
          <w:sz w:val="32"/>
          <w:szCs w:val="32"/>
          <w:lang w:val="en-US" w:eastAsia="zh-CN"/>
        </w:rPr>
        <w:t>万元，主要用于：部门按规定为职工缴纳的住房公积金支出。</w:t>
      </w:r>
    </w:p>
    <w:p>
      <w:pPr>
        <w:pStyle w:val="2"/>
        <w:keepNext/>
        <w:keepLines/>
        <w:pageBreakBefore w:val="0"/>
        <w:widowControl w:val="0"/>
        <w:suppressLineNumbers w:val="0"/>
        <w:suppressAutoHyphens/>
        <w:kinsoku/>
        <w:wordWrap/>
        <w:overflowPunct/>
        <w:topLinePunct w:val="0"/>
        <w:autoSpaceDE/>
        <w:autoSpaceDN/>
        <w:bidi w:val="0"/>
        <w:adjustRightInd/>
        <w:snapToGrid/>
        <w:spacing w:before="0" w:after="0" w:line="576" w:lineRule="exact"/>
        <w:ind w:firstLineChars="200" w:firstLine="640"/>
        <w:textAlignment w:val="auto"/>
        <w:rPr>
          <w:rFonts w:hint="eastAsia"/>
        </w:rPr>
      </w:pPr>
      <w:bookmarkStart w:id="15" w:name="_Toc32276852"/>
      <w:r>
        <w:rPr>
          <w:rFonts w:hint="eastAsia"/>
        </w:rPr>
        <w:t>四、一般公共预算基本支出情况说明</w:t>
      </w:r>
      <w:bookmarkEnd w:id="15"/>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sz w:val="32"/>
          <w:szCs w:val="32"/>
          <w:lang w:val="en-US" w:eastAsia="zh-CN"/>
        </w:rPr>
      </w:pPr>
      <w:r>
        <w:rPr>
          <w:rFonts w:ascii="仿宋_GB2312" w:eastAsia="仿宋_GB2312" w:cs="仿宋_GB2312" w:hAnsi="仿宋_GB2312"/>
          <w:sz w:val="32"/>
          <w:szCs w:val="32"/>
          <w:lang w:val="en-US" w:eastAsia="zh-CN"/>
        </w:rPr>
        <w:t>广元石窟研究所</w:t>
      </w:r>
      <w:r>
        <w:rPr>
          <w:rFonts w:ascii="仿宋_GB2312" w:eastAsia="仿宋_GB2312" w:cs="仿宋_GB2312" w:hAnsi="仿宋_GB2312" w:hint="eastAsia"/>
          <w:sz w:val="32"/>
          <w:szCs w:val="32"/>
          <w:lang w:val="en-US" w:eastAsia="zh-CN"/>
        </w:rPr>
        <w:t>2025年一般公共预算基本支出</w:t>
      </w:r>
      <w:r>
        <w:rPr>
          <w:rFonts w:ascii="仿宋_GB2312" w:eastAsia="仿宋_GB2312" w:cs="仿宋_GB2312" w:hAnsi="仿宋_GB2312"/>
          <w:sz w:val="32"/>
          <w:szCs w:val="32"/>
          <w:lang w:val="en-US" w:eastAsia="zh-CN"/>
        </w:rPr>
        <w:t>767.5</w:t>
      </w:r>
      <w:r>
        <w:rPr>
          <w:rFonts w:ascii="仿宋_GB2312" w:eastAsia="仿宋_GB2312" w:cs="仿宋_GB2312" w:hAnsi="仿宋_GB2312" w:hint="eastAsia"/>
          <w:sz w:val="32"/>
          <w:szCs w:val="32"/>
          <w:lang w:val="en-US" w:eastAsia="zh-CN"/>
        </w:rPr>
        <w:t>万元，其中：</w:t>
      </w: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sz w:val="32"/>
          <w:szCs w:val="32"/>
        </w:rPr>
      </w:pPr>
      <w:r>
        <w:rPr>
          <w:rFonts w:ascii="仿宋_GB2312" w:eastAsia="仿宋_GB2312" w:cs="仿宋_GB2312" w:hAnsi="仿宋_GB2312" w:hint="eastAsia"/>
          <w:sz w:val="32"/>
          <w:szCs w:val="32"/>
          <w:lang w:val="en-US" w:eastAsia="zh-CN"/>
        </w:rPr>
        <w:t>人员经费</w:t>
      </w:r>
      <w:r>
        <w:rPr>
          <w:rFonts w:ascii="仿宋_GB2312" w:eastAsia="仿宋_GB2312" w:cs="仿宋_GB2312" w:hAnsi="仿宋_GB2312"/>
          <w:sz w:val="32"/>
          <w:szCs w:val="32"/>
          <w:lang w:val="en-US" w:eastAsia="zh-CN"/>
        </w:rPr>
        <w:t>685.3</w:t>
      </w:r>
      <w:r>
        <w:rPr>
          <w:rFonts w:ascii="仿宋_GB2312" w:eastAsia="仿宋_GB2312" w:cs="仿宋_GB2312" w:hAnsi="仿宋_GB2312" w:hint="eastAsia"/>
          <w:sz w:val="32"/>
          <w:szCs w:val="32"/>
          <w:lang w:val="en-US" w:eastAsia="zh-CN"/>
        </w:rPr>
        <w:t>万元，主要包括：基本工资、津贴补贴、奖金、绩效工资、社会保险缴费、住房公积金、生活补助等支出。</w:t>
      </w: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sz w:val="32"/>
          <w:szCs w:val="32"/>
          <w:lang w:val="en-US" w:eastAsia="zh-CN"/>
        </w:rPr>
      </w:pPr>
      <w:r>
        <w:rPr>
          <w:rFonts w:ascii="仿宋_GB2312" w:eastAsia="仿宋_GB2312" w:cs="仿宋_GB2312" w:hAnsi="仿宋_GB2312" w:hint="eastAsia"/>
          <w:sz w:val="32"/>
          <w:szCs w:val="32"/>
          <w:lang w:val="en-US" w:eastAsia="zh-CN"/>
        </w:rPr>
        <w:t>公用经费</w:t>
      </w:r>
      <w:r>
        <w:rPr>
          <w:rFonts w:ascii="仿宋_GB2312" w:eastAsia="仿宋_GB2312" w:cs="仿宋_GB2312" w:hAnsi="仿宋_GB2312"/>
          <w:sz w:val="32"/>
          <w:szCs w:val="32"/>
          <w:lang w:val="en-US" w:eastAsia="zh-CN"/>
        </w:rPr>
        <w:t>82.2</w:t>
      </w:r>
      <w:r>
        <w:rPr>
          <w:rFonts w:ascii="仿宋_GB2312" w:eastAsia="仿宋_GB2312" w:cs="仿宋_GB2312" w:hAnsi="仿宋_GB2312" w:hint="eastAsia"/>
          <w:sz w:val="32"/>
          <w:szCs w:val="32"/>
          <w:lang w:val="en-US" w:eastAsia="zh-CN"/>
        </w:rPr>
        <w:t>万元，主要包括：办公费、印刷费、</w:t>
      </w:r>
      <w:r>
        <w:rPr>
          <w:rFonts w:ascii="仿宋_GB2312" w:eastAsia="仿宋_GB2312" w:cs="仿宋_GB2312" w:hAnsi="仿宋_GB2312"/>
          <w:sz w:val="32"/>
          <w:szCs w:val="32"/>
          <w:lang w:val="en-US" w:eastAsia="zh-CN"/>
        </w:rPr>
        <w:t>租赁费、培训费、</w:t>
      </w:r>
      <w:r>
        <w:rPr>
          <w:rFonts w:ascii="仿宋_GB2312" w:eastAsia="仿宋_GB2312" w:cs="仿宋_GB2312" w:hAnsi="仿宋_GB2312" w:hint="eastAsia"/>
          <w:sz w:val="32"/>
          <w:szCs w:val="32"/>
          <w:lang w:val="en-US" w:eastAsia="zh-CN"/>
        </w:rPr>
        <w:t>公务接待费、工会经费、福利费、公务用车运行维护费、</w:t>
      </w:r>
      <w:r>
        <w:rPr>
          <w:rFonts w:ascii="仿宋_GB2312" w:eastAsia="仿宋_GB2312" w:cs="仿宋_GB2312" w:hAnsi="仿宋_GB2312"/>
          <w:sz w:val="32"/>
          <w:szCs w:val="32"/>
          <w:lang w:val="en-US" w:eastAsia="zh-CN"/>
        </w:rPr>
        <w:t>其他交通费用、其他商品和服务支出、办公设备购置</w:t>
      </w:r>
      <w:r>
        <w:rPr>
          <w:rFonts w:ascii="仿宋_GB2312" w:eastAsia="仿宋_GB2312" w:cs="仿宋_GB2312" w:hAnsi="仿宋_GB2312" w:hint="eastAsia"/>
          <w:sz w:val="32"/>
          <w:szCs w:val="32"/>
          <w:lang w:val="en-US" w:eastAsia="zh-CN"/>
        </w:rPr>
        <w:t>等支出。</w:t>
      </w:r>
    </w:p>
    <w:p>
      <w:pPr>
        <w:pStyle w:val="2"/>
        <w:keepNext/>
        <w:keepLines/>
        <w:pageBreakBefore w:val="0"/>
        <w:widowControl w:val="0"/>
        <w:suppressLineNumbers w:val="0"/>
        <w:suppressAutoHyphens/>
        <w:kinsoku/>
        <w:wordWrap/>
        <w:overflowPunct/>
        <w:topLinePunct w:val="0"/>
        <w:autoSpaceDE/>
        <w:autoSpaceDN/>
        <w:bidi w:val="0"/>
        <w:adjustRightInd/>
        <w:snapToGrid/>
        <w:spacing w:before="0" w:after="0" w:line="576" w:lineRule="exact"/>
        <w:ind w:firstLineChars="200" w:firstLine="640"/>
        <w:textAlignment w:val="auto"/>
        <w:rPr>
          <w:rFonts w:hint="eastAsia"/>
        </w:rPr>
      </w:pPr>
      <w:bookmarkStart w:id="16" w:name="_Toc32276853"/>
      <w:r>
        <w:rPr>
          <w:rFonts w:hint="eastAsia"/>
        </w:rPr>
        <w:t>五、“三公”经费财政拨款预算安排情况说明</w:t>
      </w:r>
      <w:bookmarkEnd w:id="16"/>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sz w:val="32"/>
          <w:szCs w:val="32"/>
          <w:lang w:val="en-US" w:eastAsia="zh-CN"/>
        </w:rPr>
      </w:pPr>
      <w:r>
        <w:rPr>
          <w:rFonts w:ascii="仿宋_GB2312" w:eastAsia="仿宋_GB2312" w:cs="仿宋_GB2312" w:hAnsi="仿宋_GB2312" w:hint="eastAsia"/>
          <w:sz w:val="32"/>
          <w:szCs w:val="32"/>
          <w:lang w:val="en-US" w:eastAsia="zh-CN"/>
        </w:rPr>
        <w:t>广元石窟研究所2025年“三公”经费财政拨款预算数7.84万元，其中：公务接待费3.84万元，公务用车购置及运行维护费4万元，因公出国（境）经费0万元。</w:t>
      </w:r>
    </w:p>
    <w:p>
      <w:pPr>
        <w:pStyle w:val="3"/>
        <w:keepNext/>
        <w:keepLines/>
        <w:pageBreakBefore w:val="0"/>
        <w:widowControl w:val="0"/>
        <w:suppressLineNumbers w:val="0"/>
        <w:suppressAutoHyphens/>
        <w:kinsoku/>
        <w:wordWrap/>
        <w:overflowPunct/>
        <w:topLinePunct w:val="0"/>
        <w:autoSpaceDE/>
        <w:autoSpaceDN/>
        <w:bidi w:val="0"/>
        <w:adjustRightInd/>
        <w:snapToGrid/>
        <w:spacing w:before="0" w:after="0" w:line="576" w:lineRule="exact"/>
        <w:ind w:firstLineChars="200" w:firstLine="640"/>
        <w:textAlignment w:val="auto"/>
        <w:rPr>
          <w:rFonts w:ascii="仿宋_GB2312" w:eastAsia="仿宋_GB2312" w:cs="仿宋_GB2312" w:hAnsi="仿宋_GB2312" w:hint="eastAsia"/>
        </w:rPr>
      </w:pPr>
      <w:bookmarkStart w:id="17" w:name="_Toc32276854"/>
      <w:r>
        <w:rPr>
          <w:rFonts w:ascii="仿宋_GB2312" w:eastAsia="仿宋_GB2312" w:cs="仿宋_GB2312" w:hAnsi="仿宋_GB2312" w:hint="eastAsia"/>
        </w:rPr>
        <w:t>（一）公务接待费</w:t>
      </w:r>
      <w:bookmarkEnd w:id="17"/>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b/>
          <w:bCs/>
          <w:sz w:val="32"/>
          <w:szCs w:val="32"/>
        </w:rPr>
      </w:pPr>
      <w:r>
        <w:rPr>
          <w:rFonts w:ascii="仿宋_GB2312" w:eastAsia="仿宋_GB2312" w:cs="仿宋_GB2312" w:hAnsi="仿宋_GB2312" w:hint="eastAsia"/>
          <w:sz w:val="32"/>
          <w:szCs w:val="32"/>
          <w:lang w:val="en-US" w:eastAsia="zh-CN"/>
        </w:rPr>
        <w:t>公务接待费与2024年预算相比</w:t>
      </w:r>
      <w:r>
        <w:rPr>
          <w:rFonts w:ascii="仿宋_GB2312" w:eastAsia="仿宋_GB2312" w:cs="仿宋_GB2312" w:hAnsi="仿宋_GB2312" w:hint="eastAsia"/>
          <w:sz w:val="32"/>
          <w:szCs w:val="32"/>
          <w:lang w:val="en-US" w:eastAsia="zh-CN"/>
          <w:highlight w:val="auto"/>
        </w:rPr>
        <w:t>持平</w:t>
      </w:r>
      <w:r>
        <w:rPr>
          <w:rFonts w:ascii="仿宋_GB2312" w:eastAsia="仿宋_GB2312" w:cs="仿宋_GB2312" w:hAnsi="仿宋_GB2312" w:hint="eastAsia"/>
          <w:sz w:val="32"/>
          <w:szCs w:val="32"/>
          <w:lang w:val="en-US" w:eastAsia="zh-CN"/>
        </w:rPr>
        <w:t>。</w:t>
      </w: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b/>
          <w:bCs/>
          <w:sz w:val="32"/>
          <w:szCs w:val="32"/>
        </w:rPr>
      </w:pPr>
      <w:r>
        <w:rPr>
          <w:rFonts w:ascii="仿宋_GB2312" w:eastAsia="仿宋_GB2312" w:cs="仿宋_GB2312" w:hAnsi="仿宋_GB2312" w:hint="eastAsia"/>
          <w:sz w:val="32"/>
          <w:szCs w:val="32"/>
          <w:lang w:val="en-US" w:eastAsia="zh-CN"/>
        </w:rPr>
        <w:t>2025年公务接待费计划用于执行接待考察调研、检查指导等公务活动开支的交通费、住宿费、用餐费等。</w:t>
      </w:r>
    </w:p>
    <w:p>
      <w:pPr>
        <w:pStyle w:val="3"/>
        <w:keepNext/>
        <w:keepLines/>
        <w:pageBreakBefore w:val="0"/>
        <w:widowControl w:val="0"/>
        <w:suppressLineNumbers w:val="0"/>
        <w:suppressAutoHyphens/>
        <w:kinsoku/>
        <w:wordWrap/>
        <w:overflowPunct/>
        <w:topLinePunct w:val="0"/>
        <w:autoSpaceDE/>
        <w:autoSpaceDN/>
        <w:bidi w:val="0"/>
        <w:adjustRightInd/>
        <w:snapToGrid/>
        <w:spacing w:before="0" w:after="0" w:line="576" w:lineRule="exact"/>
        <w:ind w:firstLineChars="200" w:firstLine="640"/>
        <w:textAlignment w:val="auto"/>
        <w:rPr>
          <w:rFonts w:ascii="仿宋_GB2312" w:eastAsia="仿宋_GB2312" w:cs="仿宋_GB2312" w:hAnsi="仿宋_GB2312" w:hint="eastAsia"/>
        </w:rPr>
      </w:pPr>
      <w:bookmarkStart w:id="18" w:name="_Toc32276855"/>
      <w:r>
        <w:rPr>
          <w:rFonts w:ascii="仿宋_GB2312" w:eastAsia="仿宋_GB2312" w:cs="仿宋_GB2312" w:hAnsi="仿宋_GB2312" w:hint="eastAsia"/>
        </w:rPr>
        <w:t>（二）公务用车购置及运行维护费</w:t>
      </w:r>
      <w:bookmarkEnd w:id="18"/>
    </w:p>
    <w:p>
      <w:pPr>
        <w:keepNext w:val="0"/>
        <w:keepLines w:val="0"/>
        <w:pageBreakBefore w:val="0"/>
        <w:widowControl w:val="0"/>
        <w:suppressAutoHyphens/>
        <w:kinsoku/>
        <w:wordWrap/>
        <w:overflowPunct/>
        <w:topLinePunct w:val="0"/>
        <w:autoSpaceDE/>
        <w:autoSpaceDN/>
        <w:bidi w:val="0"/>
        <w:adjustRightInd/>
        <w:snapToGrid/>
        <w:spacing w:line="576" w:lineRule="exact"/>
        <w:ind w:left="0" w:firstLineChars="200" w:firstLine="640"/>
        <w:textAlignment w:val="auto"/>
        <w:rPr>
          <w:rFonts w:ascii="仿宋_GB2312" w:eastAsia="仿宋_GB2312" w:cs="仿宋_GB2312" w:hAnsi="仿宋_GB2312" w:hint="eastAsia"/>
          <w:b/>
          <w:bCs/>
          <w:sz w:val="32"/>
          <w:szCs w:val="32"/>
        </w:rPr>
      </w:pPr>
      <w:r>
        <w:rPr>
          <w:rFonts w:ascii="仿宋_GB2312" w:eastAsia="仿宋_GB2312" w:cs="仿宋_GB2312" w:hAnsi="仿宋_GB2312" w:hint="eastAsia"/>
          <w:sz w:val="32"/>
          <w:szCs w:val="32"/>
          <w:lang w:val="en-US" w:eastAsia="zh-CN"/>
        </w:rPr>
        <w:t>公务用车购置及运行维护费与2024年预算相比</w:t>
      </w:r>
      <w:r>
        <w:rPr>
          <w:rFonts w:ascii="仿宋_GB2312" w:eastAsia="仿宋_GB2312" w:cs="仿宋_GB2312" w:hAnsi="仿宋_GB2312" w:hint="eastAsia"/>
          <w:sz w:val="32"/>
          <w:szCs w:val="32"/>
          <w:lang w:val="en-US" w:eastAsia="zh-CN"/>
          <w:highlight w:val="auto"/>
        </w:rPr>
        <w:t>下降3万元</w:t>
      </w:r>
      <w:r>
        <w:rPr>
          <w:rFonts w:ascii="仿宋_GB2312" w:eastAsia="仿宋_GB2312" w:cs="仿宋_GB2312" w:hAnsi="仿宋_GB2312" w:hint="eastAsia"/>
          <w:sz w:val="32"/>
          <w:szCs w:val="32"/>
          <w:lang w:val="en-US" w:eastAsia="zh-CN"/>
        </w:rPr>
        <w:t>，主要原因是落实市委市政府“过紧日子”要求，压减预算支出。</w:t>
      </w: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sz w:val="32"/>
          <w:szCs w:val="32"/>
          <w:lang w:val="en-US" w:eastAsia="zh-CN"/>
        </w:rPr>
      </w:pPr>
      <w:r>
        <w:rPr>
          <w:rFonts w:ascii="仿宋_GB2312" w:eastAsia="仿宋_GB2312" w:cs="仿宋_GB2312" w:hAnsi="仿宋_GB2312" w:hint="eastAsia"/>
          <w:sz w:val="32"/>
          <w:szCs w:val="32"/>
          <w:lang w:val="en-US" w:eastAsia="zh-CN"/>
        </w:rPr>
        <w:t>单位现有公务用车2辆，其中：轿车2辆。</w:t>
      </w: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sz w:val="32"/>
          <w:szCs w:val="32"/>
          <w:lang w:val="en-US" w:eastAsia="zh-CN"/>
        </w:rPr>
      </w:pPr>
      <w:r>
        <w:rPr>
          <w:rFonts w:ascii="仿宋_GB2312" w:eastAsia="仿宋_GB2312" w:cs="仿宋_GB2312" w:hAnsi="仿宋_GB2312" w:hint="eastAsia"/>
          <w:sz w:val="32"/>
          <w:szCs w:val="32"/>
          <w:lang w:val="en-US" w:eastAsia="zh-CN"/>
        </w:rPr>
        <w:t>2025年未安排公务用车购置费。</w:t>
      </w: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sz w:val="32"/>
          <w:szCs w:val="32"/>
          <w:lang w:val="en-US" w:eastAsia="zh-CN"/>
        </w:rPr>
      </w:pPr>
      <w:r>
        <w:rPr>
          <w:rFonts w:ascii="仿宋_GB2312" w:eastAsia="仿宋_GB2312" w:cs="仿宋_GB2312" w:hAnsi="仿宋_GB2312" w:hint="eastAsia"/>
          <w:sz w:val="32"/>
          <w:szCs w:val="32"/>
          <w:lang w:val="en-US" w:eastAsia="zh-CN"/>
        </w:rPr>
        <w:t>2025年安排公务用车运行维护费4万元，用于2辆公务用车燃油、过路（桥）、维修、保险等方面支出，主要保障障</w:t>
      </w:r>
      <w:r>
        <w:rPr>
          <w:rFonts w:ascii="仿宋_GB2312" w:eastAsia="仿宋_GB2312" w:cs="仿宋_GB2312" w:hAnsi="仿宋_GB2312" w:hint="eastAsia"/>
          <w:i w:val="0"/>
          <w:caps w:val="0"/>
          <w:smallCaps w:val="0"/>
          <w:color w:val="333333"/>
          <w:spacing w:val="0"/>
          <w:kern w:val="0"/>
          <w:sz w:val="32"/>
          <w:szCs w:val="32"/>
          <w:shd w:val="clear" w:color="auto" w:fill="FFFFFF"/>
          <w:lang w:val="en-US" w:eastAsia="zh-CN" w:bidi="ar-SA"/>
        </w:rPr>
        <w:t>文物保护、考古工作用车及日常办事用车</w:t>
      </w:r>
      <w:r>
        <w:rPr>
          <w:rFonts w:ascii="仿宋_GB2312" w:eastAsia="仿宋_GB2312" w:cs="仿宋_GB2312" w:hAnsi="仿宋_GB2312" w:hint="eastAsia"/>
          <w:sz w:val="32"/>
          <w:szCs w:val="32"/>
          <w:lang w:val="en-US" w:eastAsia="zh-CN"/>
        </w:rPr>
        <w:t>。</w:t>
      </w:r>
    </w:p>
    <w:p>
      <w:pPr>
        <w:keepNext w:val="0"/>
        <w:keepLines w:val="0"/>
        <w:pageBreakBefore w:val="0"/>
        <w:widowControl w:val="0"/>
        <w:suppressAutoHyphens/>
        <w:kinsoku/>
        <w:wordWrap/>
        <w:overflowPunct/>
        <w:topLinePunct w:val="0"/>
        <w:autoSpaceDE/>
        <w:autoSpaceDN/>
        <w:bidi w:val="0"/>
        <w:adjustRightInd/>
        <w:snapToGrid/>
        <w:spacing w:line="576" w:lineRule="exact"/>
        <w:textAlignment w:val="auto"/>
        <w:rPr>
          <w:rStyle w:val="3Char"/>
          <w:rFonts w:ascii="仿宋_GB2312" w:eastAsia="仿宋_GB2312" w:cs="仿宋_GB2312" w:hAnsi="仿宋_GB2312" w:hint="eastAsia"/>
          <w:lang w:val="en-US" w:eastAsia="zh-CN"/>
        </w:rPr>
      </w:pPr>
      <w:r>
        <w:rPr>
          <w:rFonts w:ascii="仿宋_GB2312" w:eastAsia="仿宋_GB2312" w:cs="仿宋_GB2312" w:hAnsi="仿宋_GB2312" w:hint="eastAsia"/>
          <w:sz w:val="32"/>
          <w:szCs w:val="32"/>
          <w:lang w:val="en-US" w:eastAsia="zh-CN"/>
        </w:rPr>
        <w:t xml:space="preserve"> </w:t>
      </w:r>
      <w:bookmarkStart w:id="19" w:name="_Toc32276856"/>
      <w:r>
        <w:rPr>
          <w:rFonts w:ascii="仿宋_GB2312" w:eastAsia="仿宋_GB2312" w:cs="仿宋_GB2312" w:hAnsi="仿宋_GB2312" w:hint="eastAsia"/>
          <w:sz w:val="32"/>
          <w:szCs w:val="32"/>
          <w:lang w:val="en-US" w:eastAsia="zh-CN"/>
        </w:rPr>
        <w:t xml:space="preserve">  </w:t>
      </w:r>
      <w:r>
        <w:rPr>
          <w:rStyle w:val="3Char"/>
          <w:rFonts w:ascii="仿宋_GB2312" w:eastAsia="仿宋_GB2312" w:cs="仿宋_GB2312" w:hAnsi="仿宋_GB2312" w:hint="eastAsia"/>
          <w:lang w:val="en-US" w:eastAsia="zh-CN"/>
        </w:rPr>
        <w:t>（三）因公出国（境）经费</w:t>
      </w: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sz w:val="32"/>
          <w:szCs w:val="32"/>
          <w:lang w:val="en-US" w:eastAsia="zh-CN"/>
        </w:rPr>
      </w:pPr>
      <w:bookmarkEnd w:id="19"/>
      <w:r>
        <w:rPr>
          <w:rFonts w:ascii="仿宋_GB2312" w:eastAsia="仿宋_GB2312" w:cs="仿宋_GB2312" w:hAnsi="仿宋_GB2312" w:hint="eastAsia"/>
          <w:sz w:val="32"/>
          <w:szCs w:val="32"/>
          <w:lang w:val="en-US" w:eastAsia="zh-CN"/>
        </w:rPr>
        <w:t>2025年未安排因公出国（境）经费，与2024年持平。</w:t>
      </w:r>
    </w:p>
    <w:p>
      <w:pPr>
        <w:pStyle w:val="2"/>
        <w:keepNext/>
        <w:keepLines/>
        <w:pageBreakBefore w:val="0"/>
        <w:widowControl w:val="0"/>
        <w:suppressLineNumbers w:val="0"/>
        <w:suppressAutoHyphens/>
        <w:kinsoku/>
        <w:wordWrap/>
        <w:overflowPunct/>
        <w:topLinePunct w:val="0"/>
        <w:autoSpaceDE/>
        <w:autoSpaceDN/>
        <w:bidi w:val="0"/>
        <w:adjustRightInd/>
        <w:snapToGrid/>
        <w:spacing w:before="0" w:after="0" w:line="576" w:lineRule="exact"/>
        <w:ind w:firstLineChars="200" w:firstLine="640"/>
        <w:textAlignment w:val="auto"/>
        <w:rPr>
          <w:rFonts w:hint="eastAsia"/>
        </w:rPr>
      </w:pPr>
      <w:bookmarkStart w:id="20" w:name="_Toc32276857"/>
      <w:r>
        <w:rPr>
          <w:rFonts w:hint="eastAsia"/>
        </w:rPr>
        <w:t>六、政府性基金预算支出情况说明</w:t>
      </w:r>
      <w:bookmarkEnd w:id="20"/>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sz w:val="32"/>
          <w:szCs w:val="32"/>
        </w:rPr>
      </w:pPr>
      <w:r>
        <w:rPr>
          <w:rFonts w:ascii="仿宋_GB2312" w:eastAsia="仿宋_GB2312" w:cs="仿宋_GB2312" w:hAnsi="仿宋_GB2312"/>
          <w:sz w:val="32"/>
          <w:szCs w:val="32"/>
          <w:lang w:val="en-US" w:eastAsia="zh-CN"/>
        </w:rPr>
        <w:t>广元石窟研究所</w:t>
      </w:r>
      <w:r>
        <w:rPr>
          <w:rFonts w:ascii="仿宋_GB2312" w:eastAsia="仿宋_GB2312" w:cs="仿宋_GB2312" w:hAnsi="仿宋_GB2312" w:hint="eastAsia"/>
          <w:sz w:val="32"/>
          <w:szCs w:val="32"/>
          <w:lang w:val="en-US" w:eastAsia="zh-CN"/>
        </w:rPr>
        <w:t>2025年无政府性基金预算拨款安排的支出。</w:t>
      </w:r>
    </w:p>
    <w:p>
      <w:pPr>
        <w:pStyle w:val="2"/>
        <w:keepNext/>
        <w:keepLines/>
        <w:pageBreakBefore w:val="0"/>
        <w:widowControl w:val="0"/>
        <w:suppressLineNumbers w:val="0"/>
        <w:suppressAutoHyphens/>
        <w:kinsoku/>
        <w:wordWrap/>
        <w:overflowPunct/>
        <w:topLinePunct w:val="0"/>
        <w:autoSpaceDE/>
        <w:autoSpaceDN/>
        <w:bidi w:val="0"/>
        <w:adjustRightInd/>
        <w:snapToGrid/>
        <w:spacing w:before="0" w:after="0" w:line="576" w:lineRule="exact"/>
        <w:ind w:firstLineChars="200" w:firstLine="640"/>
        <w:textAlignment w:val="auto"/>
        <w:rPr>
          <w:rFonts w:hint="eastAsia"/>
        </w:rPr>
      </w:pPr>
      <w:bookmarkStart w:id="21" w:name="_Toc32276858"/>
      <w:r>
        <w:rPr>
          <w:rFonts w:hint="eastAsia"/>
        </w:rPr>
        <w:t>七、国有资本经营预算支出情况说明</w:t>
      </w:r>
      <w:bookmarkEnd w:id="21"/>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sz w:val="32"/>
          <w:szCs w:val="32"/>
        </w:rPr>
      </w:pPr>
      <w:r>
        <w:rPr>
          <w:rFonts w:ascii="仿宋_GB2312" w:eastAsia="仿宋_GB2312" w:cs="仿宋_GB2312" w:hAnsi="仿宋_GB2312"/>
          <w:sz w:val="32"/>
          <w:szCs w:val="32"/>
          <w:lang w:val="en-US" w:eastAsia="zh-CN"/>
        </w:rPr>
        <w:t>广元石窟研究所</w:t>
      </w:r>
      <w:r>
        <w:rPr>
          <w:rFonts w:ascii="仿宋_GB2312" w:eastAsia="仿宋_GB2312" w:cs="仿宋_GB2312" w:hAnsi="仿宋_GB2312" w:hint="eastAsia"/>
          <w:sz w:val="32"/>
          <w:szCs w:val="32"/>
          <w:lang w:val="en-US" w:eastAsia="zh-CN"/>
        </w:rPr>
        <w:t>2025年无国有资本经营预算拨款安排的支出。</w:t>
      </w:r>
    </w:p>
    <w:p>
      <w:pPr>
        <w:pStyle w:val="2"/>
        <w:keepNext/>
        <w:keepLines/>
        <w:pageBreakBefore w:val="0"/>
        <w:widowControl w:val="0"/>
        <w:suppressLineNumbers w:val="0"/>
        <w:suppressAutoHyphens/>
        <w:kinsoku/>
        <w:wordWrap/>
        <w:overflowPunct/>
        <w:topLinePunct w:val="0"/>
        <w:autoSpaceDE/>
        <w:autoSpaceDN/>
        <w:bidi w:val="0"/>
        <w:adjustRightInd/>
        <w:snapToGrid/>
        <w:spacing w:before="0" w:after="0" w:line="576" w:lineRule="exact"/>
        <w:ind w:firstLineChars="200" w:firstLine="640"/>
        <w:textAlignment w:val="auto"/>
        <w:rPr>
          <w:rStyle w:val="3Char"/>
          <w:rFonts w:hint="eastAsia"/>
          <w:bCs w:val="0"/>
        </w:rPr>
      </w:pPr>
      <w:bookmarkStart w:id="22" w:name="_Toc32276859"/>
      <w:r>
        <w:rPr>
          <w:rFonts w:hint="eastAsia"/>
        </w:rPr>
        <w:t>八、其他重要事项的情况说明</w:t>
      </w:r>
      <w:bookmarkEnd w:id="22"/>
    </w:p>
    <w:p>
      <w:pPr>
        <w:pStyle w:val="3"/>
        <w:keepNext/>
        <w:keepLines/>
        <w:pageBreakBefore w:val="0"/>
        <w:widowControl w:val="0"/>
        <w:suppressLineNumbers w:val="0"/>
        <w:suppressAutoHyphens/>
        <w:kinsoku/>
        <w:wordWrap/>
        <w:overflowPunct/>
        <w:topLinePunct w:val="0"/>
        <w:autoSpaceDE/>
        <w:autoSpaceDN/>
        <w:bidi w:val="0"/>
        <w:adjustRightInd/>
        <w:snapToGrid/>
        <w:spacing w:before="0" w:after="0" w:line="576" w:lineRule="exact"/>
        <w:ind w:firstLineChars="200" w:firstLine="640"/>
        <w:textAlignment w:val="auto"/>
        <w:rPr>
          <w:rFonts w:ascii="仿宋_GB2312" w:eastAsia="仿宋_GB2312" w:cs="仿宋_GB2312" w:hAnsi="仿宋_GB2312" w:hint="eastAsia"/>
        </w:rPr>
      </w:pPr>
      <w:bookmarkStart w:id="23" w:name="_Toc32276860"/>
      <w:r>
        <w:rPr>
          <w:rFonts w:ascii="仿宋_GB2312" w:eastAsia="仿宋_GB2312" w:cs="仿宋_GB2312" w:hAnsi="仿宋_GB2312" w:hint="eastAsia"/>
        </w:rPr>
        <w:t>（一）机关运行经费</w:t>
      </w:r>
      <w:bookmarkEnd w:id="23"/>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b/>
          <w:bCs/>
          <w:sz w:val="32"/>
          <w:szCs w:val="32"/>
          <w:lang w:val="en-US" w:eastAsia="zh-CN"/>
        </w:rPr>
      </w:pPr>
      <w:r>
        <w:rPr>
          <w:rFonts w:ascii="仿宋_GB2312" w:eastAsia="仿宋_GB2312" w:cs="仿宋_GB2312" w:hAnsi="仿宋_GB2312" w:hint="eastAsia"/>
          <w:sz w:val="32"/>
          <w:szCs w:val="32"/>
          <w:lang w:val="en-US" w:eastAsia="zh-CN"/>
        </w:rPr>
        <w:t>广元石窟研究所为事业单位，按规定未使用机关运行经费的相关科目。</w:t>
      </w:r>
    </w:p>
    <w:p>
      <w:pPr>
        <w:pStyle w:val="3"/>
        <w:keepNext/>
        <w:keepLines/>
        <w:pageBreakBefore w:val="0"/>
        <w:widowControl w:val="0"/>
        <w:suppressLineNumbers w:val="0"/>
        <w:suppressAutoHyphens/>
        <w:kinsoku/>
        <w:wordWrap/>
        <w:overflowPunct/>
        <w:topLinePunct w:val="0"/>
        <w:autoSpaceDE/>
        <w:autoSpaceDN/>
        <w:bidi w:val="0"/>
        <w:adjustRightInd/>
        <w:snapToGrid/>
        <w:spacing w:before="0" w:after="0" w:line="576" w:lineRule="exact"/>
        <w:ind w:firstLineChars="200" w:firstLine="640"/>
        <w:textAlignment w:val="auto"/>
        <w:rPr>
          <w:rFonts w:ascii="仿宋_GB2312" w:eastAsia="仿宋_GB2312" w:cs="仿宋_GB2312" w:hAnsi="仿宋_GB2312" w:hint="eastAsia"/>
        </w:rPr>
      </w:pPr>
      <w:bookmarkStart w:id="24" w:name="_Toc32276861"/>
      <w:r>
        <w:rPr>
          <w:rFonts w:ascii="仿宋_GB2312" w:eastAsia="仿宋_GB2312" w:cs="仿宋_GB2312" w:hAnsi="仿宋_GB2312" w:hint="eastAsia"/>
        </w:rPr>
        <w:t>（二）政府采购情况</w:t>
      </w:r>
      <w:bookmarkEnd w:id="24"/>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sz w:val="32"/>
          <w:szCs w:val="32"/>
          <w:lang w:val="en-US" w:eastAsia="zh-CN"/>
        </w:rPr>
      </w:pPr>
      <w:r>
        <w:rPr>
          <w:rFonts w:ascii="仿宋_GB2312" w:eastAsia="仿宋_GB2312" w:cs="仿宋_GB2312" w:hAnsi="仿宋_GB2312" w:hint="eastAsia"/>
          <w:sz w:val="32"/>
          <w:szCs w:val="32"/>
          <w:lang w:val="en-US" w:eastAsia="zh-CN"/>
        </w:rPr>
        <w:t>2025年，广元石窟研究所安排政府采购预算110万元，其中：政府采购服务预算110万元。</w:t>
      </w:r>
    </w:p>
    <w:p>
      <w:pPr>
        <w:pStyle w:val="3"/>
        <w:keepNext/>
        <w:keepLines/>
        <w:pageBreakBefore w:val="0"/>
        <w:widowControl w:val="0"/>
        <w:suppressLineNumbers w:val="0"/>
        <w:suppressAutoHyphens/>
        <w:kinsoku/>
        <w:wordWrap/>
        <w:overflowPunct/>
        <w:topLinePunct w:val="0"/>
        <w:autoSpaceDE/>
        <w:autoSpaceDN/>
        <w:bidi w:val="0"/>
        <w:adjustRightInd/>
        <w:snapToGrid/>
        <w:spacing w:before="0" w:after="0" w:line="576" w:lineRule="exact"/>
        <w:ind w:firstLineChars="200" w:firstLine="640"/>
        <w:textAlignment w:val="auto"/>
        <w:rPr>
          <w:rFonts w:ascii="仿宋_GB2312" w:eastAsia="仿宋_GB2312" w:cs="仿宋_GB2312" w:hAnsi="仿宋_GB2312" w:hint="eastAsia"/>
        </w:rPr>
      </w:pPr>
      <w:bookmarkStart w:id="25" w:name="_Toc32276862"/>
      <w:r>
        <w:rPr>
          <w:rFonts w:ascii="仿宋_GB2312" w:eastAsia="仿宋_GB2312" w:cs="仿宋_GB2312" w:hAnsi="仿宋_GB2312" w:hint="eastAsia"/>
        </w:rPr>
        <w:t>（三）国有资产占有使用情况</w:t>
      </w:r>
      <w:bookmarkEnd w:id="25"/>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sz w:val="32"/>
          <w:szCs w:val="32"/>
          <w:lang w:val="en-US" w:eastAsia="zh-CN"/>
        </w:rPr>
      </w:pPr>
      <w:r>
        <w:rPr>
          <w:rFonts w:ascii="仿宋_GB2312" w:eastAsia="仿宋_GB2312" w:cs="仿宋_GB2312" w:hAnsi="仿宋_GB2312" w:hint="eastAsia"/>
          <w:sz w:val="32"/>
          <w:szCs w:val="32"/>
          <w:lang w:val="en-US" w:eastAsia="zh-CN"/>
        </w:rPr>
        <w:t>截至2024年底，广元石窟研究所共有车辆2辆，其中，定向保障用车2辆。单位无价值200万元以上的大型设备。</w:t>
      </w: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sz w:val="32"/>
          <w:szCs w:val="32"/>
          <w:lang w:val="en-US" w:eastAsia="zh-CN"/>
        </w:rPr>
      </w:pPr>
      <w:r>
        <w:rPr>
          <w:rFonts w:ascii="仿宋_GB2312" w:eastAsia="仿宋_GB2312" w:cs="仿宋_GB2312" w:hAnsi="仿宋_GB2312" w:hint="eastAsia"/>
          <w:sz w:val="32"/>
          <w:szCs w:val="32"/>
          <w:lang w:val="en-US" w:eastAsia="zh-CN"/>
        </w:rPr>
        <w:t>2025年单位预算未安排购置车辆及单位价值200万元以上大型设备。</w:t>
      </w:r>
    </w:p>
    <w:p>
      <w:pPr>
        <w:pStyle w:val="3"/>
        <w:keepNext/>
        <w:keepLines/>
        <w:pageBreakBefore w:val="0"/>
        <w:widowControl w:val="0"/>
        <w:suppressLineNumbers w:val="0"/>
        <w:suppressAutoHyphens/>
        <w:kinsoku/>
        <w:wordWrap/>
        <w:overflowPunct/>
        <w:topLinePunct w:val="0"/>
        <w:autoSpaceDE/>
        <w:autoSpaceDN/>
        <w:bidi w:val="0"/>
        <w:adjustRightInd/>
        <w:snapToGrid/>
        <w:spacing w:before="0" w:after="0" w:line="576" w:lineRule="exact"/>
        <w:ind w:firstLineChars="200" w:firstLine="640"/>
        <w:textAlignment w:val="auto"/>
        <w:rPr>
          <w:rFonts w:ascii="仿宋_GB2312" w:eastAsia="仿宋_GB2312" w:cs="仿宋_GB2312" w:hAnsi="仿宋_GB2312" w:hint="eastAsia"/>
        </w:rPr>
      </w:pPr>
      <w:bookmarkStart w:id="26" w:name="_Toc32276863"/>
      <w:r>
        <w:rPr>
          <w:rFonts w:ascii="仿宋_GB2312" w:eastAsia="仿宋_GB2312" w:cs="仿宋_GB2312" w:hAnsi="仿宋_GB2312" w:hint="eastAsia"/>
        </w:rPr>
        <w:t>（四）绩效目标设置情况</w:t>
      </w:r>
      <w:bookmarkEnd w:id="26"/>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color w:val="auto"/>
          <w:sz w:val="32"/>
          <w:szCs w:val="32"/>
          <w:lang w:val="en-US" w:eastAsia="zh-CN"/>
          <w:highlight w:val="yellow"/>
        </w:rPr>
      </w:pPr>
      <w:r>
        <w:rPr>
          <w:rFonts w:ascii="仿宋_GB2312" w:eastAsia="仿宋_GB2312" w:cs="仿宋_GB2312" w:hAnsi="仿宋_GB2312" w:hint="eastAsia"/>
          <w:sz w:val="32"/>
          <w:szCs w:val="32"/>
          <w:lang w:val="en-US" w:eastAsia="zh-CN"/>
        </w:rPr>
        <w:t>2025年广元石窟研究所开展绩效目标管理的项目20个，涉及预算1520.14万元。其中：人员类项目6个，涉及预算685.3万元；运转类项目4个，涉及预算82.2万元；特定目标类项目10个，预算752.64万元。</w:t>
      </w:r>
    </w:p>
    <w:p>
      <w:pPr>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0" w:beforeAutospacing="0" w:after="0" w:afterAutospacing="0" w:line="580" w:lineRule="atLeast"/>
        <w:ind w:right="0"/>
        <w:jc w:val="center"/>
        <w:rPr>
          <w:rFonts w:ascii="方正小标宋简体" w:eastAsia="方正小标宋简体" w:cs="方正小标宋简体" w:hAnsi="方正小标宋简体" w:hint="eastAsia"/>
          <w:b/>
          <w:bCs/>
          <w:i w:val="0"/>
          <w:caps w:val="0"/>
          <w:smallCaps w:val="0"/>
          <w:color w:val="000000"/>
          <w:spacing w:val="0"/>
          <w:kern w:val="0"/>
          <w:sz w:val="44"/>
          <w:szCs w:val="44"/>
          <w:shd w:val="clear" w:color="auto" w:fill="FFFFFF"/>
          <w:lang w:val="en-US" w:eastAsia="zh-CN"/>
          <w:highlight w:val="auto"/>
        </w:rPr>
      </w:pPr>
    </w:p>
    <w:p>
      <w:pPr>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0" w:beforeAutospacing="0" w:after="0" w:afterAutospacing="0" w:line="580" w:lineRule="atLeast"/>
        <w:ind w:right="0"/>
        <w:jc w:val="center"/>
        <w:rPr>
          <w:rFonts w:ascii="方正小标宋简体" w:eastAsia="方正小标宋简体" w:cs="方正小标宋简体" w:hAnsi="方正小标宋简体" w:hint="eastAsia"/>
          <w:b w:val="0"/>
          <w:bCs w:val="0"/>
          <w:i w:val="0"/>
          <w:caps w:val="0"/>
          <w:smallCaps w:val="0"/>
          <w:color w:val="000000"/>
          <w:spacing w:val="0"/>
          <w:kern w:val="0"/>
          <w:sz w:val="44"/>
          <w:szCs w:val="44"/>
          <w:shd w:val="clear" w:color="auto" w:fill="FFFFFF"/>
          <w:lang w:val="en-US" w:eastAsia="zh-CN"/>
          <w:highlight w:val="auto"/>
        </w:rPr>
      </w:pPr>
    </w:p>
    <w:p>
      <w:pPr>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0" w:beforeAutospacing="0" w:after="0" w:afterAutospacing="0" w:line="580" w:lineRule="atLeast"/>
        <w:ind w:right="0"/>
        <w:jc w:val="center"/>
        <w:rPr>
          <w:rFonts w:ascii="方正小标宋简体" w:eastAsia="方正小标宋简体" w:cs="方正小标宋简体" w:hAnsi="方正小标宋简体" w:hint="eastAsia"/>
          <w:b w:val="0"/>
          <w:bCs w:val="0"/>
          <w:i w:val="0"/>
          <w:caps w:val="0"/>
          <w:smallCaps w:val="0"/>
          <w:color w:val="000000"/>
          <w:spacing w:val="0"/>
          <w:kern w:val="0"/>
          <w:sz w:val="44"/>
          <w:szCs w:val="44"/>
          <w:shd w:val="clear" w:color="auto" w:fill="FFFFFF"/>
          <w:lang w:val="en-US" w:eastAsia="zh-CN"/>
          <w:highlight w:val="auto"/>
        </w:rPr>
      </w:pPr>
    </w:p>
    <w:p>
      <w:pPr>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0" w:beforeAutospacing="0" w:after="0" w:afterAutospacing="0" w:line="580" w:lineRule="atLeast"/>
        <w:ind w:right="0"/>
        <w:jc w:val="center"/>
        <w:rPr>
          <w:rFonts w:ascii="方正小标宋简体" w:eastAsia="方正小标宋简体" w:cs="方正小标宋简体" w:hAnsi="方正小标宋简体" w:hint="eastAsia"/>
          <w:b w:val="0"/>
          <w:bCs w:val="0"/>
          <w:i w:val="0"/>
          <w:caps w:val="0"/>
          <w:smallCaps w:val="0"/>
          <w:color w:val="000000"/>
          <w:spacing w:val="0"/>
          <w:kern w:val="0"/>
          <w:sz w:val="44"/>
          <w:szCs w:val="44"/>
          <w:shd w:val="clear" w:color="auto" w:fill="FFFFFF"/>
          <w:lang w:val="en-US" w:eastAsia="zh-CN"/>
          <w:highlight w:val="auto"/>
        </w:rPr>
      </w:pPr>
    </w:p>
    <w:p>
      <w:pPr>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0" w:beforeAutospacing="0" w:after="0" w:afterAutospacing="0" w:line="580" w:lineRule="atLeast"/>
        <w:ind w:right="0"/>
        <w:jc w:val="center"/>
        <w:rPr>
          <w:rFonts w:ascii="方正小标宋简体" w:eastAsia="方正小标宋简体" w:cs="方正小标宋简体" w:hAnsi="方正小标宋简体" w:hint="eastAsia"/>
          <w:b w:val="0"/>
          <w:bCs w:val="0"/>
          <w:i w:val="0"/>
          <w:caps w:val="0"/>
          <w:smallCaps w:val="0"/>
          <w:color w:val="000000"/>
          <w:spacing w:val="0"/>
          <w:kern w:val="0"/>
          <w:sz w:val="44"/>
          <w:szCs w:val="44"/>
          <w:shd w:val="clear" w:color="auto" w:fill="FFFFFF"/>
          <w:lang w:val="en-US" w:eastAsia="zh-CN"/>
          <w:highlight w:val="auto"/>
        </w:rPr>
      </w:pPr>
    </w:p>
    <w:p>
      <w:pPr>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0" w:beforeAutospacing="0" w:after="0" w:afterAutospacing="0" w:line="580" w:lineRule="atLeast"/>
        <w:ind w:right="0"/>
        <w:jc w:val="center"/>
        <w:rPr>
          <w:rFonts w:ascii="方正小标宋简体" w:eastAsia="方正小标宋简体" w:cs="方正小标宋简体" w:hAnsi="方正小标宋简体" w:hint="eastAsia"/>
          <w:b w:val="0"/>
          <w:bCs w:val="0"/>
          <w:i w:val="0"/>
          <w:caps w:val="0"/>
          <w:smallCaps w:val="0"/>
          <w:color w:val="000000"/>
          <w:spacing w:val="0"/>
          <w:kern w:val="0"/>
          <w:sz w:val="44"/>
          <w:szCs w:val="44"/>
          <w:shd w:val="clear" w:color="auto" w:fill="FFFFFF"/>
          <w:lang w:val="en-US" w:eastAsia="zh-CN"/>
          <w:highlight w:val="auto"/>
        </w:rPr>
      </w:pPr>
    </w:p>
    <w:p>
      <w:pPr>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0" w:beforeAutospacing="0" w:after="0" w:afterAutospacing="0" w:line="580" w:lineRule="atLeast"/>
        <w:ind w:right="0"/>
        <w:jc w:val="center"/>
        <w:rPr>
          <w:rFonts w:ascii="方正小标宋简体" w:eastAsia="方正小标宋简体" w:cs="方正小标宋简体" w:hAnsi="方正小标宋简体" w:hint="eastAsia"/>
          <w:b w:val="0"/>
          <w:bCs w:val="0"/>
          <w:i w:val="0"/>
          <w:caps w:val="0"/>
          <w:smallCaps w:val="0"/>
          <w:color w:val="000000"/>
          <w:spacing w:val="0"/>
          <w:kern w:val="0"/>
          <w:sz w:val="44"/>
          <w:szCs w:val="44"/>
          <w:shd w:val="clear" w:color="auto" w:fill="FFFFFF"/>
          <w:lang w:val="en-US" w:eastAsia="zh-CN"/>
          <w:highlight w:val="auto"/>
        </w:rPr>
      </w:pPr>
    </w:p>
    <w:p>
      <w:pPr>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0" w:beforeAutospacing="0" w:after="0" w:afterAutospacing="0" w:line="580" w:lineRule="atLeast"/>
        <w:ind w:right="0"/>
        <w:jc w:val="center"/>
        <w:rPr>
          <w:rFonts w:ascii="方正小标宋简体" w:eastAsia="方正小标宋简体" w:cs="方正小标宋简体" w:hAnsi="方正小标宋简体" w:hint="eastAsia"/>
          <w:b w:val="0"/>
          <w:bCs w:val="0"/>
          <w:i w:val="0"/>
          <w:caps w:val="0"/>
          <w:smallCaps w:val="0"/>
          <w:color w:val="000000"/>
          <w:spacing w:val="0"/>
          <w:kern w:val="0"/>
          <w:sz w:val="44"/>
          <w:szCs w:val="44"/>
          <w:shd w:val="clear" w:color="auto" w:fill="FFFFFF"/>
          <w:lang w:val="en-US" w:eastAsia="zh-CN"/>
          <w:highlight w:val="auto"/>
        </w:rPr>
      </w:pPr>
    </w:p>
    <w:p>
      <w:pPr>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0" w:beforeAutospacing="0" w:after="0" w:afterAutospacing="0" w:line="580" w:lineRule="atLeast"/>
        <w:ind w:right="0"/>
        <w:jc w:val="center"/>
        <w:rPr>
          <w:rFonts w:ascii="方正小标宋简体" w:eastAsia="方正小标宋简体" w:cs="方正小标宋简体" w:hAnsi="方正小标宋简体" w:hint="eastAsia"/>
          <w:b w:val="0"/>
          <w:bCs w:val="0"/>
          <w:i w:val="0"/>
          <w:caps w:val="0"/>
          <w:smallCaps w:val="0"/>
          <w:color w:val="000000"/>
          <w:spacing w:val="0"/>
          <w:kern w:val="0"/>
          <w:sz w:val="44"/>
          <w:szCs w:val="44"/>
          <w:shd w:val="clear" w:color="auto" w:fill="FFFFFF"/>
          <w:lang w:val="en-US" w:eastAsia="zh-CN"/>
          <w:highlight w:val="auto"/>
        </w:rPr>
      </w:pPr>
    </w:p>
    <w:p>
      <w:pPr>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0" w:beforeAutospacing="0" w:after="0" w:afterAutospacing="0" w:line="580" w:lineRule="atLeast"/>
        <w:ind w:right="0"/>
        <w:jc w:val="center"/>
        <w:rPr>
          <w:rFonts w:ascii="方正小标宋简体" w:eastAsia="方正小标宋简体" w:cs="方正小标宋简体" w:hAnsi="方正小标宋简体" w:hint="eastAsia"/>
          <w:b w:val="0"/>
          <w:bCs w:val="0"/>
          <w:i w:val="0"/>
          <w:caps w:val="0"/>
          <w:smallCaps w:val="0"/>
          <w:color w:val="000000"/>
          <w:spacing w:val="0"/>
          <w:kern w:val="0"/>
          <w:sz w:val="44"/>
          <w:szCs w:val="44"/>
          <w:shd w:val="clear" w:color="auto" w:fill="FFFFFF"/>
          <w:lang w:val="en-US" w:eastAsia="zh-CN"/>
          <w:highlight w:val="auto"/>
        </w:rPr>
      </w:pPr>
    </w:p>
    <w:p>
      <w:pPr>
        <w:keepNext w:val="0"/>
        <w:keepLines w:val="0"/>
        <w:widowControl/>
        <w:suppressLineNumbers w:val="0"/>
        <w:pBdr>
          <w:top w:val="none" w:sz="0" w:space="0" w:color="auto"/>
          <w:left w:val="none" w:sz="0" w:space="0" w:color="auto"/>
          <w:bottom w:val="none" w:sz="0" w:space="0" w:color="auto"/>
          <w:right w:val="none" w:sz="0" w:space="0" w:color="auto"/>
        </w:pBdr>
        <w:shd w:val="clear" w:color="auto" w:fill="FFFFFF"/>
        <w:suppressAutoHyphens/>
        <w:spacing w:before="0" w:beforeAutospacing="0" w:after="0" w:afterAutospacing="0" w:line="580" w:lineRule="atLeast"/>
        <w:ind w:right="0"/>
        <w:rPr>
          <w:rFonts w:ascii="方正小标宋简体" w:eastAsia="方正小标宋简体" w:cs="方正小标宋简体" w:hAnsi="方正小标宋简体" w:hint="eastAsia"/>
          <w:b w:val="0"/>
          <w:bCs w:val="0"/>
          <w:i w:val="0"/>
          <w:caps w:val="0"/>
          <w:smallCaps w:val="0"/>
          <w:color w:val="000000"/>
          <w:spacing w:val="0"/>
          <w:kern w:val="0"/>
          <w:sz w:val="44"/>
          <w:szCs w:val="44"/>
          <w:shd w:val="clear" w:color="auto" w:fill="FFFFFF"/>
          <w:lang w:val="en-US" w:eastAsia="zh-CN"/>
          <w:highlight w:val="auto"/>
        </w:rPr>
      </w:pPr>
    </w:p>
    <w:p>
      <w:pPr>
        <w:pStyle w:val="1"/>
        <w:keepNext/>
        <w:keepLines/>
        <w:pageBreakBefore w:val="0"/>
        <w:widowControl w:val="0"/>
        <w:suppressLineNumbers w:val="0"/>
        <w:pBdr>
          <w:top w:val="none" w:sz="0" w:space="0" w:color="auto"/>
          <w:left w:val="none" w:sz="0" w:space="0" w:color="auto"/>
          <w:bottom w:val="none" w:sz="0" w:space="0" w:color="auto"/>
          <w:right w:val="none" w:sz="0" w:space="0" w:color="auto"/>
        </w:pBdr>
        <w:suppressAutoHyphens/>
        <w:spacing w:before="340" w:after="330" w:line="578" w:lineRule="auto"/>
        <w:jc w:val="center"/>
        <w:rPr>
          <w:rFonts w:hint="eastAsia"/>
        </w:rPr>
      </w:pPr>
      <w:bookmarkStart w:id="27" w:name="_Toc32276864"/>
      <w:r>
        <w:t xml:space="preserve">第三部分 </w:t>
      </w:r>
      <w:r>
        <w:rPr>
          <w:rFonts w:hint="eastAsia"/>
        </w:rPr>
        <w:t>名词解释</w:t>
      </w:r>
      <w:bookmarkEnd w:id="27"/>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黑体" w:eastAsia="黑体" w:cs="黑体" w:hAnsi="黑体" w:hint="eastAsia"/>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黑体" w:eastAsia="黑体" w:cs="黑体" w:hAnsi="黑体" w:hint="eastAsia"/>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黑体" w:eastAsia="黑体" w:cs="黑体" w:hAnsi="黑体" w:hint="eastAsia"/>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黑体" w:eastAsia="黑体" w:cs="黑体" w:hAnsi="黑体" w:hint="eastAsia"/>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黑体" w:eastAsia="黑体" w:cs="黑体" w:hAnsi="黑体" w:hint="eastAsia"/>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textAlignment w:val="auto"/>
        <w:rPr>
          <w:rFonts w:ascii="黑体" w:eastAsia="黑体" w:cs="黑体" w:hAnsi="黑体" w:hint="eastAsia"/>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textAlignment w:val="auto"/>
        <w:rPr>
          <w:rFonts w:ascii="黑体" w:eastAsia="黑体" w:cs="黑体" w:hAnsi="黑体" w:hint="eastAsia"/>
          <w:sz w:val="32"/>
          <w:szCs w:val="32"/>
          <w:lang w:val="en-US" w:eastAsia="zh-CN"/>
        </w:rPr>
      </w:pPr>
    </w:p>
    <w:p>
      <w:pPr>
        <w:rPr>
          <w:rFonts w:ascii="黑体" w:eastAsia="黑体" w:cs="黑体" w:hAnsi="黑体" w:hint="eastAsia"/>
          <w:sz w:val="32"/>
          <w:szCs w:val="32"/>
          <w:lang w:val="en-US" w:eastAsia="zh-CN"/>
        </w:rPr>
      </w:pPr>
      <w:r>
        <w:rPr>
          <w:rFonts w:ascii="黑体" w:eastAsia="黑体" w:cs="黑体" w:hAnsi="黑体" w:hint="eastAsia"/>
          <w:sz w:val="32"/>
          <w:szCs w:val="32"/>
          <w:lang w:val="en-US" w:eastAsia="zh-CN"/>
        </w:rPr>
        <w:br w:type="page"/>
      </w:r>
    </w:p>
    <w:p>
      <w:pPr>
        <w:ind w:firstLineChars="200" w:firstLine="640"/>
        <w:rPr>
          <w:rFonts w:ascii="仿宋_GB2312" w:eastAsia="仿宋_GB2312" w:cs="仿宋_GB2312" w:hAnsi="仿宋_GB2312" w:hint="eastAsia"/>
          <w:sz w:val="32"/>
          <w:szCs w:val="32"/>
          <w:lang w:val="en-US" w:eastAsia="zh-CN"/>
        </w:rPr>
      </w:pPr>
      <w:r>
        <w:rPr>
          <w:rFonts w:ascii="黑体" w:eastAsia="黑体" w:cs="黑体" w:hAnsi="黑体" w:hint="eastAsia"/>
          <w:sz w:val="32"/>
          <w:szCs w:val="32"/>
          <w:lang w:val="en-US" w:eastAsia="zh-CN"/>
        </w:rPr>
        <w:t>一、财政拨款收入:</w:t>
      </w:r>
      <w:r>
        <w:rPr>
          <w:rFonts w:ascii="仿宋_GB2312" w:eastAsia="仿宋_GB2312" w:cs="仿宋_GB2312" w:hAnsi="仿宋_GB2312" w:hint="eastAsia"/>
          <w:sz w:val="32"/>
          <w:szCs w:val="32"/>
          <w:lang w:val="en-US" w:eastAsia="zh-CN"/>
        </w:rPr>
        <w:t>指市财政当年安排的财政预算收入。按现行管理制度</w:t>
      </w:r>
      <w:r>
        <w:rPr>
          <w:rFonts w:ascii="仿宋_GB2312" w:eastAsia="仿宋_GB2312" w:cs="仿宋_GB2312" w:hAnsi="仿宋_GB2312"/>
          <w:sz w:val="32"/>
          <w:szCs w:val="32"/>
          <w:lang w:val="en-US" w:eastAsia="zh-CN"/>
        </w:rPr>
        <w:t>,</w:t>
      </w:r>
      <w:r>
        <w:rPr>
          <w:rFonts w:ascii="仿宋_GB2312" w:eastAsia="仿宋_GB2312" w:cs="仿宋_GB2312" w:hAnsi="仿宋_GB2312" w:hint="eastAsia"/>
          <w:sz w:val="32"/>
          <w:szCs w:val="32"/>
          <w:lang w:val="en-US" w:eastAsia="zh-CN"/>
        </w:rPr>
        <w:t>部门预算中反映的财政拨款包括一般公共预算拨款和政府性基金预算拨款。</w:t>
      </w: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sz w:val="32"/>
          <w:szCs w:val="32"/>
          <w:lang w:val="en-US" w:eastAsia="zh-CN"/>
        </w:rPr>
      </w:pPr>
      <w:r>
        <w:rPr>
          <w:rFonts w:ascii="黑体" w:eastAsia="黑体" w:cs="黑体" w:hAnsi="黑体"/>
          <w:sz w:val="32"/>
          <w:szCs w:val="32"/>
          <w:lang w:val="en-US" w:eastAsia="zh-CN"/>
        </w:rPr>
        <w:t>二</w:t>
      </w:r>
      <w:r>
        <w:rPr>
          <w:rFonts w:ascii="黑体" w:eastAsia="黑体" w:cs="黑体" w:hAnsi="黑体" w:hint="eastAsia"/>
          <w:sz w:val="32"/>
          <w:szCs w:val="32"/>
          <w:lang w:val="en-US" w:eastAsia="zh-CN"/>
        </w:rPr>
        <w:t>、</w:t>
      </w:r>
      <w:r>
        <w:rPr>
          <w:rFonts w:ascii="黑体" w:eastAsia="黑体" w:cs="黑体" w:hAnsi="黑体" w:hint="eastAsia"/>
          <w:sz w:val="32"/>
          <w:szCs w:val="32"/>
        </w:rPr>
        <w:t>文化旅游体育与传媒</w:t>
      </w:r>
      <w:r>
        <w:rPr>
          <w:rFonts w:ascii="黑体" w:eastAsia="黑体" w:cs="黑体" w:hAnsi="黑体" w:hint="eastAsia"/>
          <w:sz w:val="32"/>
          <w:szCs w:val="32"/>
          <w:lang w:eastAsia="zh-CN"/>
        </w:rPr>
        <w:t>支出</w:t>
      </w:r>
      <w:r>
        <w:rPr>
          <w:rFonts w:ascii="黑体" w:eastAsia="黑体" w:cs="黑体" w:hAnsi="黑体" w:hint="eastAsia"/>
          <w:sz w:val="32"/>
          <w:szCs w:val="32"/>
        </w:rPr>
        <w:t>（类）文物（款）博物馆（项）</w:t>
      </w:r>
      <w:r>
        <w:rPr>
          <w:rFonts w:ascii="黑体" w:eastAsia="黑体" w:cs="黑体" w:hAnsi="黑体" w:hint="eastAsia"/>
          <w:b w:val="0"/>
          <w:bCs w:val="0"/>
          <w:i w:val="0"/>
          <w:caps w:val="0"/>
          <w:smallCaps w:val="0"/>
          <w:color w:val="333333"/>
          <w:spacing w:val="0"/>
          <w:kern w:val="0"/>
          <w:sz w:val="32"/>
          <w:szCs w:val="32"/>
          <w:shd w:val="clear" w:color="auto" w:fill="FFFFFF"/>
          <w:lang w:val="en-US" w:eastAsia="zh-CN" w:bidi="ar-SA"/>
        </w:rPr>
        <w:t>：</w:t>
      </w:r>
      <w:r>
        <w:rPr>
          <w:rFonts w:ascii="仿宋_GB2312" w:eastAsia="仿宋_GB2312" w:cs="仿宋_GB2312" w:hAnsi="Times New Roman" w:hint="eastAsia"/>
          <w:i w:val="0"/>
          <w:caps w:val="0"/>
          <w:smallCaps w:val="0"/>
          <w:color w:val="333333"/>
          <w:spacing w:val="0"/>
          <w:kern w:val="0"/>
          <w:sz w:val="32"/>
          <w:szCs w:val="32"/>
          <w:shd w:val="clear" w:color="auto" w:fill="FFFFFF"/>
          <w:lang w:val="en-US" w:eastAsia="zh-CN" w:bidi="ar-SA"/>
        </w:rPr>
        <w:t>指机关单位用于保障机构正常运行、开展日常工作的基本支出及开展景区管理工作的项目支出。</w:t>
      </w:r>
      <w:r>
        <w:rPr>
          <w:rFonts w:ascii="仿宋_GB2312" w:eastAsia="仿宋_GB2312" w:cs="仿宋_GB2312" w:hAnsi="仿宋_GB2312" w:hint="eastAsia"/>
          <w:sz w:val="32"/>
          <w:szCs w:val="32"/>
          <w:lang w:val="en-US" w:eastAsia="zh-CN"/>
        </w:rPr>
        <w:t>　　</w:t>
      </w:r>
    </w:p>
    <w:p>
      <w:pPr>
        <w:keepNext w:val="0"/>
        <w:keepLines w:val="0"/>
        <w:pageBreakBefore w:val="0"/>
        <w:widowControl w:val="0"/>
        <w:suppressAutoHyphens/>
        <w:kinsoku/>
        <w:wordWrap/>
        <w:overflowPunct/>
        <w:topLinePunct w:val="0"/>
        <w:autoSpaceDE/>
        <w:autoSpaceDN/>
        <w:adjustRightInd/>
        <w:snapToGrid/>
        <w:spacing w:line="576" w:lineRule="exact"/>
        <w:ind w:firstLineChars="200" w:firstLine="640"/>
        <w:rPr>
          <w:rStyle w:val="24"/>
          <w:rFonts w:ascii="仿宋" w:eastAsia="仿宋" w:cs="仿宋_GB2312" w:hAnsi="仿宋" w:hint="eastAsia"/>
          <w:b w:val="0"/>
          <w:color w:val="000000"/>
          <w:sz w:val="32"/>
          <w:szCs w:val="32"/>
          <w:lang w:bidi="ar-SA"/>
        </w:rPr>
      </w:pPr>
      <w:r>
        <w:rPr>
          <w:rFonts w:ascii="黑体" w:eastAsia="黑体" w:cs="黑体" w:hAnsi="黑体" w:hint="eastAsia"/>
          <w:sz w:val="32"/>
          <w:szCs w:val="32"/>
          <w:lang w:val="en-US" w:eastAsia="zh-CN" w:bidi="ar-SA"/>
        </w:rPr>
        <w:t>三、</w:t>
      </w:r>
      <w:r>
        <w:rPr>
          <w:rFonts w:ascii="黑体" w:eastAsia="黑体" w:cs="黑体" w:hAnsi="黑体" w:hint="eastAsia"/>
          <w:sz w:val="32"/>
          <w:szCs w:val="32"/>
          <w:lang w:bidi="ar-SA"/>
        </w:rPr>
        <w:t>社会保障和就业支出（类）行政事业单位养老支出（款）机关事业单位基本养老保险缴费支出（项）</w:t>
      </w:r>
      <w:r>
        <w:rPr>
          <w:rStyle w:val="24"/>
          <w:rFonts w:ascii="黑体" w:eastAsia="黑体" w:cs="黑体" w:hAnsi="黑体" w:hint="eastAsia"/>
          <w:b w:val="0"/>
          <w:color w:val="000000"/>
          <w:sz w:val="32"/>
          <w:szCs w:val="32"/>
          <w:lang w:bidi="ar-SA"/>
        </w:rPr>
        <w:t>：</w:t>
      </w:r>
      <w:r>
        <w:rPr>
          <w:rStyle w:val="24"/>
          <w:rFonts w:ascii="仿宋" w:eastAsia="仿宋" w:cs="仿宋_GB2312" w:hAnsi="仿宋" w:hint="eastAsia"/>
          <w:b w:val="0"/>
          <w:color w:val="000000"/>
          <w:sz w:val="32"/>
          <w:szCs w:val="32"/>
          <w:lang w:bidi="ar-SA"/>
        </w:rPr>
        <w:t>指部门实施养老保险制度由单位缴纳的养老保险的支出。</w:t>
      </w:r>
    </w:p>
    <w:p>
      <w:pPr>
        <w:keepNext w:val="0"/>
        <w:keepLines w:val="0"/>
        <w:pageBreakBefore w:val="0"/>
        <w:widowControl w:val="0"/>
        <w:suppressAutoHyphens/>
        <w:kinsoku/>
        <w:wordWrap/>
        <w:overflowPunct/>
        <w:topLinePunct w:val="0"/>
        <w:autoSpaceDE/>
        <w:autoSpaceDN/>
        <w:adjustRightInd/>
        <w:snapToGrid/>
        <w:spacing w:line="576" w:lineRule="exact"/>
        <w:ind w:firstLineChars="200" w:firstLine="640"/>
        <w:rPr>
          <w:rStyle w:val="24"/>
          <w:rFonts w:ascii="仿宋" w:eastAsia="仿宋" w:cs="仿宋_GB2312" w:hAnsi="仿宋"/>
          <w:b w:val="0"/>
          <w:color w:val="000000"/>
          <w:sz w:val="32"/>
          <w:szCs w:val="32"/>
          <w:lang w:val="en-US" w:eastAsia="zh-CN" w:bidi="ar-SA"/>
        </w:rPr>
      </w:pPr>
      <w:r>
        <w:rPr>
          <w:rFonts w:ascii="黑体" w:eastAsia="黑体" w:cs="黑体" w:hAnsi="黑体" w:hint="eastAsia"/>
          <w:sz w:val="32"/>
          <w:szCs w:val="32"/>
          <w:lang w:val="en-US" w:eastAsia="zh-CN" w:bidi="ar-SA"/>
        </w:rPr>
        <w:t>四、</w:t>
      </w:r>
      <w:r>
        <w:rPr>
          <w:rFonts w:ascii="黑体" w:eastAsia="黑体" w:cs="黑体" w:hAnsi="黑体" w:hint="eastAsia"/>
          <w:sz w:val="32"/>
          <w:szCs w:val="32"/>
          <w:lang w:bidi="ar-SA"/>
        </w:rPr>
        <w:t>社会保障和就业支出（类）其他社会保障和就业支出（款）其他社会保障和就业支</w:t>
      </w:r>
      <w:r>
        <w:rPr>
          <w:rFonts w:ascii="黑体" w:eastAsia="黑体" w:cs="黑体" w:hAnsi="黑体" w:hint="eastAsia"/>
          <w:sz w:val="32"/>
          <w:szCs w:val="32"/>
          <w:lang w:bidi="ar-SA"/>
          <w:highlight w:val="auto"/>
        </w:rPr>
        <w:t>出（项）</w:t>
      </w:r>
      <w:r>
        <w:rPr>
          <w:rStyle w:val="24"/>
          <w:rFonts w:ascii="黑体" w:eastAsia="黑体" w:cs="黑体" w:hAnsi="黑体" w:hint="eastAsia"/>
          <w:b w:val="0"/>
          <w:color w:val="000000"/>
          <w:sz w:val="32"/>
          <w:szCs w:val="32"/>
          <w:lang w:bidi="ar-SA"/>
          <w:highlight w:val="auto"/>
        </w:rPr>
        <w:t>：</w:t>
      </w:r>
      <w:r>
        <w:rPr>
          <w:rStyle w:val="24"/>
          <w:rFonts w:ascii="仿宋" w:eastAsia="仿宋" w:cs="仿宋_GB2312" w:hAnsi="仿宋" w:hint="eastAsia"/>
          <w:b w:val="0"/>
          <w:color w:val="000000"/>
          <w:sz w:val="32"/>
          <w:szCs w:val="32"/>
          <w:lang w:val="en-US" w:eastAsia="zh-CN" w:bidi="ar-SA"/>
        </w:rPr>
        <w:t>指除上述以外其他用于社会保障和就业方面的支出。</w:t>
        <w:br/>
      </w:r>
      <w:r>
        <w:rPr>
          <w:rFonts w:ascii="仿宋_GB2312" w:eastAsia="仿宋_GB2312" w:cs="仿宋_GB2312" w:hAnsi="Times New Roman" w:hint="eastAsia"/>
          <w:i w:val="0"/>
          <w:caps w:val="0"/>
          <w:smallCaps w:val="0"/>
          <w:color w:val="333333"/>
          <w:spacing w:val="0"/>
          <w:kern w:val="0"/>
          <w:sz w:val="32"/>
          <w:szCs w:val="32"/>
          <w:shd w:val="clear" w:color="auto" w:fill="FFFFFF"/>
          <w:lang w:val="en-US" w:eastAsia="zh-CN" w:bidi="ar-SA"/>
        </w:rPr>
        <w:t xml:space="preserve">  </w:t>
      </w:r>
      <w:r>
        <w:rPr>
          <w:rFonts w:ascii="黑体" w:eastAsia="黑体" w:cs="黑体" w:hAnsi="黑体" w:hint="eastAsia"/>
          <w:i w:val="0"/>
          <w:caps w:val="0"/>
          <w:smallCaps w:val="0"/>
          <w:color w:val="333333"/>
          <w:spacing w:val="0"/>
          <w:kern w:val="0"/>
          <w:sz w:val="32"/>
          <w:szCs w:val="32"/>
          <w:shd w:val="clear" w:color="auto" w:fill="FFFFFF"/>
          <w:lang w:val="en-US" w:eastAsia="zh-CN" w:bidi="ar-SA"/>
        </w:rPr>
        <w:t xml:space="preserve"> </w:t>
      </w:r>
      <w:r>
        <w:rPr>
          <w:rFonts w:ascii="黑体" w:eastAsia="黑体" w:cs="黑体" w:hAnsi="黑体" w:hint="eastAsia"/>
          <w:sz w:val="32"/>
          <w:szCs w:val="32"/>
          <w:lang w:val="en-US" w:eastAsia="zh-CN" w:bidi="ar-SA"/>
        </w:rPr>
        <w:t xml:space="preserve"> 五、卫生健康支出（类）行政事业单位医疗（款）事业单位医疗（项）</w:t>
      </w:r>
      <w:r>
        <w:rPr>
          <w:rStyle w:val="24"/>
          <w:rFonts w:ascii="黑体" w:eastAsia="黑体" w:cs="黑体" w:hAnsi="黑体" w:hint="eastAsia"/>
          <w:b w:val="0"/>
          <w:color w:val="000000"/>
          <w:sz w:val="32"/>
          <w:szCs w:val="32"/>
          <w:lang w:val="en-US" w:eastAsia="zh-CN" w:bidi="ar-SA"/>
        </w:rPr>
        <w:t>：</w:t>
      </w:r>
      <w:r>
        <w:rPr>
          <w:rStyle w:val="24"/>
          <w:rFonts w:ascii="仿宋" w:eastAsia="仿宋" w:cs="仿宋_GB2312" w:hAnsi="仿宋" w:hint="eastAsia"/>
          <w:b w:val="0"/>
          <w:color w:val="000000"/>
          <w:sz w:val="32"/>
          <w:szCs w:val="32"/>
          <w:lang w:val="en-US" w:eastAsia="zh-CN" w:bidi="ar-SA"/>
        </w:rPr>
        <w:t>指事业单位用于单位应缴纳基本医疗保险支出。</w:t>
      </w:r>
    </w:p>
    <w:p>
      <w:pPr>
        <w:keepNext w:val="0"/>
        <w:keepLines w:val="0"/>
        <w:pageBreakBefore w:val="0"/>
        <w:widowControl w:val="0"/>
        <w:suppressAutoHyphens/>
        <w:kinsoku/>
        <w:wordWrap/>
        <w:overflowPunct/>
        <w:topLinePunct w:val="0"/>
        <w:autoSpaceDE/>
        <w:autoSpaceDN/>
        <w:adjustRightInd/>
        <w:snapToGrid/>
        <w:spacing w:line="576" w:lineRule="exact"/>
        <w:ind w:firstLineChars="200" w:firstLine="640"/>
        <w:rPr>
          <w:rFonts w:ascii="仿宋_GB2312" w:eastAsia="仿宋_GB2312" w:cs="仿宋_GB2312" w:hAnsi="仿宋_GB2312"/>
          <w:sz w:val="32"/>
          <w:szCs w:val="32"/>
          <w:lang w:val="en-US" w:eastAsia="zh-CN"/>
        </w:rPr>
      </w:pPr>
      <w:r>
        <w:rPr>
          <w:rFonts w:ascii="黑体" w:eastAsia="黑体" w:cs="黑体" w:hAnsi="黑体" w:hint="eastAsia"/>
          <w:sz w:val="32"/>
          <w:szCs w:val="32"/>
          <w:lang w:val="en-US" w:eastAsia="zh-CN"/>
        </w:rPr>
        <w:t>六、住房保障（类）住房改革支出（款）住房公积金（项）：</w:t>
      </w:r>
      <w:r>
        <w:rPr>
          <w:rFonts w:ascii="仿宋_GB2312" w:eastAsia="仿宋_GB2312" w:cs="仿宋_GB2312" w:hAnsi="仿宋_GB2312" w:hint="eastAsia"/>
          <w:sz w:val="32"/>
          <w:szCs w:val="32"/>
          <w:lang w:val="en-US" w:eastAsia="zh-CN"/>
        </w:rPr>
        <w:t>指按照《住房公积金管理条例》的规定，由单位及其在职职工缴存的长期住房储金。　　</w:t>
      </w:r>
    </w:p>
    <w:p>
      <w:pPr>
        <w:keepNext w:val="0"/>
        <w:keepLines w:val="0"/>
        <w:pageBreakBefore w:val="0"/>
        <w:widowControl w:val="0"/>
        <w:suppressAutoHyphens/>
        <w:kinsoku/>
        <w:wordWrap/>
        <w:overflowPunct/>
        <w:topLinePunct w:val="0"/>
        <w:autoSpaceDE/>
        <w:autoSpaceDN/>
        <w:adjustRightInd/>
        <w:snapToGrid/>
        <w:spacing w:line="576" w:lineRule="exact"/>
        <w:ind w:firstLineChars="200" w:firstLine="640"/>
        <w:rPr>
          <w:rFonts w:ascii="仿宋_GB2312" w:eastAsia="仿宋_GB2312" w:cs="仿宋_GB2312" w:hAnsi="仿宋_GB2312" w:hint="eastAsia"/>
          <w:sz w:val="32"/>
          <w:szCs w:val="32"/>
        </w:rPr>
      </w:pPr>
      <w:r>
        <w:rPr>
          <w:rFonts w:ascii="黑体" w:eastAsia="黑体" w:cs="黑体" w:hAnsi="黑体" w:hint="eastAsia"/>
          <w:sz w:val="32"/>
          <w:szCs w:val="32"/>
          <w:lang w:val="en-US" w:eastAsia="zh-CN"/>
        </w:rPr>
        <w:t>七、基本支出：</w:t>
      </w:r>
      <w:r>
        <w:rPr>
          <w:rFonts w:ascii="仿宋_GB2312" w:eastAsia="仿宋_GB2312" w:cs="仿宋_GB2312" w:hAnsi="仿宋_GB2312" w:hint="eastAsia"/>
          <w:sz w:val="32"/>
          <w:szCs w:val="32"/>
          <w:lang w:val="en-US" w:eastAsia="zh-CN"/>
        </w:rPr>
        <w:t>指为保证机构正常运转，完成日常工作任务而发生的人员支出和公用支出。</w:t>
        <w:br/>
        <w:t>　　</w:t>
      </w:r>
      <w:r>
        <w:rPr>
          <w:rFonts w:ascii="黑体" w:eastAsia="黑体" w:cs="黑体" w:hAnsi="黑体" w:hint="eastAsia"/>
          <w:sz w:val="32"/>
          <w:szCs w:val="32"/>
          <w:lang w:val="en-US" w:eastAsia="zh-CN"/>
        </w:rPr>
        <w:t>八、项目支出：</w:t>
      </w:r>
      <w:r>
        <w:rPr>
          <w:rFonts w:ascii="仿宋_GB2312" w:eastAsia="仿宋_GB2312" w:cs="仿宋_GB2312" w:hAnsi="仿宋_GB2312" w:hint="eastAsia"/>
          <w:sz w:val="32"/>
          <w:szCs w:val="32"/>
          <w:lang w:val="en-US" w:eastAsia="zh-CN"/>
        </w:rPr>
        <w:t>指在基本支出之外为完成特定行政任务和事业发展目标所发生的支出。</w:t>
      </w:r>
    </w:p>
    <w:p>
      <w:pPr>
        <w:keepNext w:val="0"/>
        <w:keepLines w:val="0"/>
        <w:pageBreakBefore w:val="0"/>
        <w:widowControl w:val="0"/>
        <w:suppressAutoHyphens/>
        <w:kinsoku/>
        <w:wordWrap/>
        <w:overflowPunct/>
        <w:topLinePunct w:val="0"/>
        <w:autoSpaceDE/>
        <w:autoSpaceDN/>
        <w:adjustRightInd/>
        <w:snapToGrid/>
        <w:spacing w:line="576" w:lineRule="exact"/>
        <w:ind w:firstLineChars="200" w:firstLine="640"/>
        <w:rPr>
          <w:rFonts w:ascii="仿宋_GB2312" w:eastAsia="仿宋_GB2312" w:cs="仿宋_GB2312" w:hAnsi="仿宋_GB2312" w:hint="eastAsia"/>
          <w:b/>
          <w:bCs/>
          <w:sz w:val="32"/>
          <w:szCs w:val="32"/>
          <w:lang w:val="en-US" w:eastAsia="zh-CN"/>
        </w:rPr>
      </w:pPr>
      <w:r>
        <w:rPr>
          <w:rFonts w:ascii="黑体" w:eastAsia="黑体" w:cs="黑体" w:hAnsi="黑体" w:hint="eastAsia"/>
          <w:sz w:val="32"/>
          <w:szCs w:val="32"/>
          <w:lang w:val="en-US" w:eastAsia="zh-CN"/>
        </w:rPr>
        <w:t>九、“三公”经费：</w:t>
      </w:r>
      <w:r>
        <w:rPr>
          <w:rFonts w:ascii="仿宋_GB2312" w:eastAsia="仿宋_GB2312" w:cs="仿宋_GB2312" w:hAnsi="仿宋_GB2312" w:hint="eastAsia"/>
          <w:sz w:val="32"/>
          <w:szCs w:val="32"/>
          <w:lang w:val="en-US" w:eastAsia="zh-CN"/>
        </w:rPr>
        <w:t>纳入市级财政预算管理的“三公”经费，是指部门用财政拨款安排的因公出国（境）费、公务用车购置及运行费和公务接待费。其中，因公出国（境）费反映单位公务出</w:t>
      </w:r>
    </w:p>
    <w:p>
      <w:pPr>
        <w:keepNext w:val="0"/>
        <w:keepLines w:val="0"/>
        <w:pageBreakBefore w:val="0"/>
        <w:widowControl w:val="0"/>
        <w:suppressAutoHyphens/>
        <w:kinsoku/>
        <w:wordWrap/>
        <w:overflowPunct/>
        <w:topLinePunct w:val="0"/>
        <w:autoSpaceDE/>
        <w:autoSpaceDN/>
        <w:bidi w:val="0"/>
        <w:adjustRightInd/>
        <w:snapToGrid/>
        <w:spacing w:line="576" w:lineRule="exact"/>
        <w:textAlignment w:val="auto"/>
        <w:rPr>
          <w:rFonts w:ascii="仿宋_GB2312" w:eastAsia="仿宋_GB2312" w:cs="仿宋_GB2312" w:hAnsi="仿宋_GB2312" w:hint="eastAsia"/>
          <w:b/>
          <w:bCs/>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b/>
          <w:bCs/>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b/>
          <w:bCs/>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left="0"/>
        <w:textAlignment w:val="auto"/>
        <w:rPr>
          <w:rFonts w:ascii="仿宋_GB2312" w:eastAsia="仿宋_GB2312" w:cs="仿宋_GB2312" w:hAnsi="仿宋_GB2312"/>
          <w:b/>
          <w:bCs/>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left="0"/>
        <w:textAlignment w:val="auto"/>
        <w:rPr>
          <w:rFonts w:ascii="仿宋_GB2312" w:eastAsia="仿宋_GB2312" w:cs="仿宋_GB2312" w:hAnsi="仿宋_GB2312"/>
          <w:b/>
          <w:bCs/>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left="0"/>
        <w:textAlignment w:val="auto"/>
        <w:rPr>
          <w:rFonts w:ascii="仿宋_GB2312" w:eastAsia="仿宋_GB2312" w:cs="仿宋_GB2312" w:hAnsi="仿宋_GB2312" w:hint="eastAsia"/>
          <w:b/>
          <w:bCs/>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b/>
          <w:bCs/>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b/>
          <w:bCs/>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b/>
          <w:bCs/>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b/>
          <w:bCs/>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b/>
          <w:bCs/>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b/>
          <w:bCs/>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b/>
          <w:bCs/>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b/>
          <w:bCs/>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b/>
          <w:bCs/>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b/>
          <w:bCs/>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b/>
          <w:bCs/>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b/>
          <w:bCs/>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b/>
          <w:bCs/>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b/>
          <w:bCs/>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b/>
          <w:bCs/>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b/>
          <w:bCs/>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b/>
          <w:bCs/>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b/>
          <w:bCs/>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b/>
          <w:bCs/>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b/>
          <w:bCs/>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b/>
          <w:bCs/>
          <w:sz w:val="32"/>
          <w:szCs w:val="32"/>
          <w:lang w:val="en-US" w:eastAsia="zh-CN"/>
        </w:rPr>
      </w:pP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仿宋_GB2312" w:eastAsia="仿宋_GB2312" w:cs="仿宋_GB2312" w:hAnsi="仿宋_GB2312" w:hint="eastAsia"/>
          <w:b/>
          <w:bCs/>
          <w:sz w:val="32"/>
          <w:szCs w:val="32"/>
          <w:lang w:val="en-US" w:eastAsia="zh-CN"/>
        </w:rPr>
      </w:pPr>
    </w:p>
    <w:p>
      <w:pPr>
        <w:pStyle w:val="1"/>
        <w:keepNext/>
        <w:keepLines/>
        <w:pageBreakBefore w:val="0"/>
        <w:widowControl w:val="0"/>
        <w:suppressLineNumbers w:val="0"/>
        <w:pBdr>
          <w:top w:val="none" w:sz="0" w:space="0" w:color="auto"/>
          <w:left w:val="none" w:sz="0" w:space="0" w:color="auto"/>
          <w:bottom w:val="none" w:sz="0" w:space="0" w:color="auto"/>
          <w:right w:val="none" w:sz="0" w:space="0" w:color="auto"/>
        </w:pBdr>
        <w:suppressAutoHyphens/>
        <w:spacing w:line="578" w:lineRule="auto"/>
        <w:jc w:val="center"/>
        <w:rPr>
          <w:rFonts w:hint="eastAsia"/>
        </w:rPr>
      </w:pPr>
      <w:bookmarkStart w:id="28" w:name="_Toc32276865"/>
      <w:r>
        <w:t>第四部分 广元石窟研究所</w:t>
      </w:r>
      <w:r>
        <w:rPr>
          <w:rFonts w:hint="eastAsia"/>
        </w:rPr>
        <w:t>2025年单位预算表</w:t>
      </w:r>
      <w:bookmarkEnd w:id="28"/>
    </w:p>
    <w:p>
      <w:pPr>
        <w:keepNext w:val="0"/>
        <w:keepLines w:val="0"/>
        <w:pageBreakBefore w:val="0"/>
        <w:widowControl w:val="0"/>
        <w:suppressAutoHyphens/>
        <w:kinsoku/>
        <w:wordWrap/>
        <w:overflowPunct/>
        <w:topLinePunct w:val="0"/>
        <w:autoSpaceDE/>
        <w:autoSpaceDN/>
        <w:bidi w:val="0"/>
        <w:adjustRightInd/>
        <w:snapToGrid/>
        <w:spacing w:line="576" w:lineRule="exact"/>
        <w:ind w:left="0"/>
        <w:textAlignment w:val="auto"/>
        <w:rPr>
          <w:rFonts w:ascii="方正小标宋简体" w:eastAsia="方正小标宋简体" w:cs="方正小标宋简体" w:hAnsi="方正小标宋简体"/>
          <w:b w:val="0"/>
          <w:bCs w:val="0"/>
          <w:i w:val="0"/>
          <w:caps w:val="0"/>
          <w:smallCaps w:val="0"/>
          <w:color w:val="000000"/>
          <w:spacing w:val="0"/>
          <w:kern w:val="0"/>
          <w:sz w:val="44"/>
          <w:szCs w:val="44"/>
          <w:shd w:val="clear" w:color="auto" w:fill="FFFFFF"/>
          <w:lang w:val="en-US" w:eastAsia="zh-CN"/>
          <w:highlight w:val="auto"/>
        </w:rPr>
      </w:pPr>
    </w:p>
    <w:p>
      <w:pPr>
        <w:keepNext w:val="0"/>
        <w:keepLines w:val="0"/>
        <w:pageBreakBefore w:val="0"/>
        <w:widowControl w:val="0"/>
        <w:suppressAutoHyphens/>
        <w:kinsoku/>
        <w:wordWrap/>
        <w:overflowPunct/>
        <w:topLinePunct w:val="0"/>
        <w:autoSpaceDE/>
        <w:autoSpaceDN/>
        <w:bidi w:val="0"/>
        <w:adjustRightInd/>
        <w:snapToGrid/>
        <w:spacing w:line="576" w:lineRule="exact"/>
        <w:ind w:left="0"/>
        <w:textAlignment w:val="auto"/>
        <w:rPr>
          <w:rFonts w:ascii="方正小标宋简体" w:eastAsia="方正小标宋简体" w:cs="方正小标宋简体" w:hAnsi="方正小标宋简体"/>
          <w:b w:val="0"/>
          <w:bCs w:val="0"/>
          <w:i w:val="0"/>
          <w:caps w:val="0"/>
          <w:smallCaps w:val="0"/>
          <w:color w:val="000000"/>
          <w:spacing w:val="0"/>
          <w:kern w:val="0"/>
          <w:sz w:val="44"/>
          <w:szCs w:val="44"/>
          <w:shd w:val="clear" w:color="auto" w:fill="FFFFFF"/>
          <w:lang w:val="en-US" w:eastAsia="zh-CN"/>
          <w:highlight w:val="auto"/>
        </w:rPr>
      </w:pPr>
    </w:p>
    <w:p>
      <w:pPr>
        <w:keepNext w:val="0"/>
        <w:keepLines w:val="0"/>
        <w:pageBreakBefore w:val="0"/>
        <w:widowControl w:val="0"/>
        <w:suppressAutoHyphens/>
        <w:kinsoku/>
        <w:wordWrap/>
        <w:overflowPunct/>
        <w:topLinePunct w:val="0"/>
        <w:autoSpaceDE/>
        <w:autoSpaceDN/>
        <w:bidi w:val="0"/>
        <w:adjustRightInd/>
        <w:snapToGrid/>
        <w:spacing w:line="576" w:lineRule="exact"/>
        <w:ind w:left="0"/>
        <w:textAlignment w:val="auto"/>
        <w:rPr>
          <w:rFonts w:ascii="方正小标宋简体" w:eastAsia="方正小标宋简体" w:cs="方正小标宋简体" w:hAnsi="方正小标宋简体"/>
          <w:b w:val="0"/>
          <w:bCs w:val="0"/>
          <w:i w:val="0"/>
          <w:caps w:val="0"/>
          <w:smallCaps w:val="0"/>
          <w:color w:val="000000"/>
          <w:spacing w:val="0"/>
          <w:kern w:val="0"/>
          <w:sz w:val="44"/>
          <w:szCs w:val="44"/>
          <w:shd w:val="clear" w:color="auto" w:fill="FFFFFF"/>
          <w:lang w:val="en-US" w:eastAsia="zh-CN"/>
          <w:highlight w:val="auto"/>
        </w:rPr>
      </w:pPr>
    </w:p>
    <w:p>
      <w:pPr>
        <w:keepNext w:val="0"/>
        <w:keepLines w:val="0"/>
        <w:pageBreakBefore w:val="0"/>
        <w:widowControl w:val="0"/>
        <w:suppressAutoHyphens/>
        <w:kinsoku/>
        <w:wordWrap/>
        <w:overflowPunct/>
        <w:topLinePunct w:val="0"/>
        <w:autoSpaceDE/>
        <w:autoSpaceDN/>
        <w:bidi w:val="0"/>
        <w:adjustRightInd/>
        <w:snapToGrid/>
        <w:spacing w:line="576" w:lineRule="exact"/>
        <w:ind w:left="0"/>
        <w:textAlignment w:val="auto"/>
        <w:rPr>
          <w:rFonts w:ascii="方正小标宋简体" w:eastAsia="方正小标宋简体" w:cs="方正小标宋简体" w:hAnsi="方正小标宋简体"/>
          <w:b w:val="0"/>
          <w:bCs w:val="0"/>
          <w:i w:val="0"/>
          <w:caps w:val="0"/>
          <w:smallCaps w:val="0"/>
          <w:color w:val="000000"/>
          <w:spacing w:val="0"/>
          <w:kern w:val="0"/>
          <w:sz w:val="44"/>
          <w:szCs w:val="44"/>
          <w:shd w:val="clear" w:color="auto" w:fill="FFFFFF"/>
          <w:lang w:val="en-US" w:eastAsia="zh-CN"/>
          <w:highlight w:val="auto"/>
        </w:rPr>
      </w:pPr>
    </w:p>
    <w:p>
      <w:pPr>
        <w:keepNext w:val="0"/>
        <w:keepLines w:val="0"/>
        <w:pageBreakBefore w:val="0"/>
        <w:widowControl w:val="0"/>
        <w:suppressAutoHyphens/>
        <w:kinsoku/>
        <w:wordWrap/>
        <w:overflowPunct/>
        <w:topLinePunct w:val="0"/>
        <w:autoSpaceDE/>
        <w:autoSpaceDN/>
        <w:bidi w:val="0"/>
        <w:adjustRightInd/>
        <w:snapToGrid/>
        <w:spacing w:line="576" w:lineRule="exact"/>
        <w:ind w:left="0"/>
        <w:textAlignment w:val="auto"/>
        <w:rPr>
          <w:rFonts w:ascii="方正小标宋简体" w:eastAsia="方正小标宋简体" w:cs="方正小标宋简体" w:hAnsi="方正小标宋简体"/>
          <w:b w:val="0"/>
          <w:bCs w:val="0"/>
          <w:i w:val="0"/>
          <w:caps w:val="0"/>
          <w:smallCaps w:val="0"/>
          <w:color w:val="000000"/>
          <w:spacing w:val="0"/>
          <w:kern w:val="0"/>
          <w:sz w:val="44"/>
          <w:szCs w:val="44"/>
          <w:shd w:val="clear" w:color="auto" w:fill="FFFFFF"/>
          <w:lang w:val="en-US" w:eastAsia="zh-CN"/>
          <w:highlight w:val="auto"/>
        </w:rPr>
      </w:pPr>
    </w:p>
    <w:p>
      <w:pPr>
        <w:keepNext w:val="0"/>
        <w:keepLines w:val="0"/>
        <w:pageBreakBefore w:val="0"/>
        <w:widowControl w:val="0"/>
        <w:suppressAutoHyphens/>
        <w:kinsoku/>
        <w:wordWrap/>
        <w:overflowPunct/>
        <w:topLinePunct w:val="0"/>
        <w:autoSpaceDE/>
        <w:autoSpaceDN/>
        <w:bidi w:val="0"/>
        <w:adjustRightInd/>
        <w:snapToGrid/>
        <w:spacing w:line="576" w:lineRule="exact"/>
        <w:ind w:left="0"/>
        <w:textAlignment w:val="auto"/>
        <w:rPr>
          <w:rFonts w:ascii="方正小标宋简体" w:eastAsia="方正小标宋简体" w:cs="方正小标宋简体" w:hAnsi="方正小标宋简体"/>
          <w:b w:val="0"/>
          <w:bCs w:val="0"/>
          <w:i w:val="0"/>
          <w:caps w:val="0"/>
          <w:smallCaps w:val="0"/>
          <w:color w:val="000000"/>
          <w:spacing w:val="0"/>
          <w:kern w:val="0"/>
          <w:sz w:val="44"/>
          <w:szCs w:val="44"/>
          <w:shd w:val="clear" w:color="auto" w:fill="FFFFFF"/>
          <w:lang w:val="en-US" w:eastAsia="zh-CN"/>
          <w:highlight w:val="auto"/>
        </w:rPr>
      </w:pPr>
    </w:p>
    <w:p>
      <w:pPr>
        <w:keepNext w:val="0"/>
        <w:keepLines w:val="0"/>
        <w:pageBreakBefore w:val="0"/>
        <w:widowControl w:val="0"/>
        <w:suppressAutoHyphens/>
        <w:kinsoku/>
        <w:wordWrap/>
        <w:overflowPunct/>
        <w:topLinePunct w:val="0"/>
        <w:autoSpaceDE/>
        <w:autoSpaceDN/>
        <w:bidi w:val="0"/>
        <w:adjustRightInd/>
        <w:snapToGrid/>
        <w:spacing w:line="576" w:lineRule="exact"/>
        <w:ind w:left="0"/>
        <w:textAlignment w:val="auto"/>
        <w:rPr>
          <w:rFonts w:ascii="方正小标宋简体" w:eastAsia="方正小标宋简体" w:cs="方正小标宋简体" w:hAnsi="方正小标宋简体"/>
          <w:b w:val="0"/>
          <w:bCs w:val="0"/>
          <w:i w:val="0"/>
          <w:caps w:val="0"/>
          <w:smallCaps w:val="0"/>
          <w:color w:val="000000"/>
          <w:spacing w:val="0"/>
          <w:kern w:val="0"/>
          <w:sz w:val="44"/>
          <w:szCs w:val="44"/>
          <w:shd w:val="clear" w:color="auto" w:fill="FFFFFF"/>
          <w:lang w:val="en-US" w:eastAsia="zh-CN"/>
          <w:highlight w:val="auto"/>
        </w:rPr>
      </w:pPr>
    </w:p>
    <w:p>
      <w:pPr>
        <w:keepNext w:val="0"/>
        <w:keepLines w:val="0"/>
        <w:pageBreakBefore w:val="0"/>
        <w:widowControl w:val="0"/>
        <w:suppressAutoHyphens/>
        <w:kinsoku/>
        <w:wordWrap/>
        <w:overflowPunct/>
        <w:topLinePunct w:val="0"/>
        <w:autoSpaceDE/>
        <w:autoSpaceDN/>
        <w:bidi w:val="0"/>
        <w:adjustRightInd/>
        <w:snapToGrid/>
        <w:spacing w:line="576" w:lineRule="exact"/>
        <w:ind w:left="0"/>
        <w:textAlignment w:val="auto"/>
        <w:rPr>
          <w:rFonts w:ascii="方正小标宋简体" w:eastAsia="方正小标宋简体" w:cs="方正小标宋简体" w:hAnsi="方正小标宋简体"/>
          <w:b w:val="0"/>
          <w:bCs w:val="0"/>
          <w:i w:val="0"/>
          <w:caps w:val="0"/>
          <w:smallCaps w:val="0"/>
          <w:color w:val="000000"/>
          <w:spacing w:val="0"/>
          <w:kern w:val="0"/>
          <w:sz w:val="44"/>
          <w:szCs w:val="44"/>
          <w:shd w:val="clear" w:color="auto" w:fill="FFFFFF"/>
          <w:lang w:val="en-US" w:eastAsia="zh-CN"/>
          <w:highlight w:val="auto"/>
        </w:rPr>
      </w:pPr>
    </w:p>
    <w:p>
      <w:pPr>
        <w:keepNext w:val="0"/>
        <w:keepLines w:val="0"/>
        <w:pageBreakBefore w:val="0"/>
        <w:widowControl w:val="0"/>
        <w:suppressAutoHyphens/>
        <w:kinsoku/>
        <w:wordWrap/>
        <w:overflowPunct/>
        <w:topLinePunct w:val="0"/>
        <w:autoSpaceDE/>
        <w:autoSpaceDN/>
        <w:bidi w:val="0"/>
        <w:adjustRightInd/>
        <w:snapToGrid/>
        <w:spacing w:line="576" w:lineRule="exact"/>
        <w:ind w:left="0"/>
        <w:textAlignment w:val="auto"/>
        <w:rPr>
          <w:rFonts w:ascii="方正小标宋简体" w:eastAsia="方正小标宋简体" w:cs="方正小标宋简体" w:hAnsi="方正小标宋简体"/>
          <w:b w:val="0"/>
          <w:bCs w:val="0"/>
          <w:i w:val="0"/>
          <w:caps w:val="0"/>
          <w:smallCaps w:val="0"/>
          <w:color w:val="000000"/>
          <w:spacing w:val="0"/>
          <w:kern w:val="0"/>
          <w:sz w:val="44"/>
          <w:szCs w:val="44"/>
          <w:shd w:val="clear" w:color="auto" w:fill="FFFFFF"/>
          <w:lang w:val="en-US" w:eastAsia="zh-CN"/>
          <w:highlight w:val="auto"/>
        </w:rPr>
      </w:pPr>
    </w:p>
    <w:p>
      <w:pPr>
        <w:keepNext w:val="0"/>
        <w:keepLines w:val="0"/>
        <w:pageBreakBefore w:val="0"/>
        <w:widowControl w:val="0"/>
        <w:suppressAutoHyphens/>
        <w:kinsoku/>
        <w:wordWrap/>
        <w:overflowPunct/>
        <w:topLinePunct w:val="0"/>
        <w:autoSpaceDE/>
        <w:autoSpaceDN/>
        <w:bidi w:val="0"/>
        <w:adjustRightInd/>
        <w:snapToGrid/>
        <w:spacing w:line="576" w:lineRule="exact"/>
        <w:ind w:left="0"/>
        <w:textAlignment w:val="auto"/>
        <w:rPr>
          <w:rFonts w:ascii="方正小标宋简体" w:eastAsia="方正小标宋简体" w:cs="方正小标宋简体" w:hAnsi="方正小标宋简体"/>
          <w:b w:val="0"/>
          <w:bCs w:val="0"/>
          <w:i w:val="0"/>
          <w:caps w:val="0"/>
          <w:smallCaps w:val="0"/>
          <w:color w:val="000000"/>
          <w:spacing w:val="0"/>
          <w:kern w:val="0"/>
          <w:sz w:val="44"/>
          <w:szCs w:val="44"/>
          <w:shd w:val="clear" w:color="auto" w:fill="FFFFFF"/>
          <w:lang w:val="en-US" w:eastAsia="zh-CN"/>
          <w:highlight w:val="auto"/>
        </w:rPr>
      </w:pPr>
    </w:p>
    <w:p>
      <w:pPr>
        <w:keepNext w:val="0"/>
        <w:keepLines w:val="0"/>
        <w:pageBreakBefore w:val="0"/>
        <w:widowControl w:val="0"/>
        <w:suppressLineNumbers w:val="0"/>
        <w:suppressAutoHyphens/>
        <w:bidi w:val="0"/>
        <w:rPr>
          <w:rFonts w:ascii="仿宋" w:eastAsia="仿宋" w:cs="仿宋" w:hAnsi="仿宋" w:hint="eastAsia"/>
          <w:sz w:val="24"/>
        </w:rPr>
      </w:pPr>
      <w:r>
        <w:rPr>
          <w:rFonts w:ascii="仿宋" w:eastAsia="仿宋" w:cs="仿宋" w:hAnsi="仿宋" w:hint="eastAsia"/>
          <w:sz w:val="24"/>
        </w:rPr>
        <w:t>附表一</w:t>
      </w:r>
      <w:r>
        <w:rPr>
          <w:rFonts w:ascii="仿宋" w:eastAsia="仿宋" w:cs="仿宋" w:hAnsi="仿宋"/>
          <w:sz w:val="24"/>
        </w:rPr>
        <w:t xml:space="preserve">                                                             表1</w:t>
      </w:r>
    </w:p>
    <w:p>
      <w:pPr>
        <w:keepNext w:val="0"/>
        <w:keepLines w:val="0"/>
        <w:pageBreakBefore w:val="0"/>
        <w:widowControl w:val="0"/>
        <w:suppressAutoHyphens/>
        <w:kinsoku/>
        <w:wordWrap/>
        <w:overflowPunct/>
        <w:topLinePunct w:val="0"/>
        <w:autoSpaceDE/>
        <w:autoSpaceDN/>
        <w:adjustRightInd/>
        <w:snapToGrid/>
        <w:spacing w:line="576" w:lineRule="exact"/>
        <w:ind w:firstLineChars="200" w:firstLine="640"/>
        <w:rPr>
          <w:rFonts w:ascii="黑体" w:eastAsia="黑体" w:cs="黑体" w:hAnsi="黑体"/>
          <w:sz w:val="32"/>
          <w:szCs w:val="32"/>
          <w:lang w:val="en-US" w:eastAsia="zh-CN"/>
        </w:rPr>
      </w:pPr>
      <w:r>
        <w:rPr>
          <w:rFonts w:ascii="黑体" w:eastAsia="黑体" w:cs="黑体" w:hAnsi="黑体"/>
          <w:sz w:val="32"/>
          <w:szCs w:val="32"/>
          <w:lang w:val="en-US" w:eastAsia="zh-CN"/>
        </w:rPr>
        <w:drawing>
          <wp:anchor distT="0" distB="0" distL="85723" distR="85723" simplePos="0" relativeHeight="41" behindDoc="0" locked="0" layoutInCell="1" hidden="0" allowOverlap="1">
            <wp:simplePos x="0" y="0"/>
            <wp:positionH relativeFrom="column">
              <wp:posOffset>53980</wp:posOffset>
            </wp:positionH>
            <wp:positionV relativeFrom="paragraph">
              <wp:posOffset>125072</wp:posOffset>
            </wp:positionV>
            <wp:extent cx="5322006" cy="7096010"/>
            <wp:effectExtent l="0" t="0" r="6" b="7"/>
            <wp:wrapSquare wrapText="bothSides"/>
            <wp:docPr id="1" name="图片"/>
            <wp:cNvGraphicFramePr>
              <a:graphicFrameLocks noChangeAspect="1"/>
            </wp:cNvGraphicFramePr>
            <a:graphic>
              <a:graphicData uri="http://schemas.openxmlformats.org/drawingml/2006/picture">
                <pic:pic>
                  <pic:nvPicPr>
                    <pic:cNvPr id="3" name="图片 3"/>
                    <pic:cNvPicPr/>
                  </pic:nvPicPr>
                  <pic:blipFill>
                    <a:blip r:embed="rId5"/>
                    <a:stretch>
                      <a:fillRect/>
                    </a:stretch>
                  </pic:blipFill>
                  <pic:spPr>
                    <a:xfrm rot="0">
                      <a:off x="0" y="0"/>
                      <a:ext cx="5322006" cy="7096010"/>
                    </a:xfrm>
                    <a:prstGeom prst="rect"/>
                    <a:noFill/>
                    <a:ln w="9525" cmpd="sng" cap="flat">
                      <a:noFill/>
                      <a:prstDash val="solid"/>
                      <a:miter/>
                    </a:ln>
                  </pic:spPr>
                </pic:pic>
              </a:graphicData>
            </a:graphic>
          </wp:anchor>
        </w:drawing>
      </w:r>
    </w:p>
    <w:p>
      <w:pPr>
        <w:keepNext w:val="0"/>
        <w:keepLines w:val="0"/>
        <w:pageBreakBefore w:val="0"/>
        <w:widowControl w:val="0"/>
        <w:suppressAutoHyphens/>
        <w:kinsoku/>
        <w:wordWrap/>
        <w:overflowPunct/>
        <w:topLinePunct w:val="0"/>
        <w:autoSpaceDE/>
        <w:autoSpaceDN/>
        <w:bidi w:val="0"/>
        <w:adjustRightInd/>
        <w:snapToGrid/>
        <w:spacing w:line="576" w:lineRule="exact"/>
        <w:ind w:firstLineChars="200" w:firstLine="640"/>
        <w:textAlignment w:val="auto"/>
        <w:rPr>
          <w:rFonts w:ascii="黑体" w:eastAsia="黑体" w:cs="黑体" w:hAnsi="黑体" w:hint="eastAsia"/>
          <w:sz w:val="32"/>
          <w:szCs w:val="32"/>
          <w:lang w:val="en-US" w:eastAsia="zh-CN"/>
        </w:rPr>
        <w:sectPr>
          <w:pgSz w:w="11906" w:h="16838"/>
          <w:pgMar w:top="2098" w:right="1474" w:bottom="1984" w:left="1587" w:header="720" w:footer="1559" w:gutter="0"/>
          <w:cols w:num="1" w:space="0"/>
          <w:rtlGutter/>
          <w:docGrid w:type="lines" w:linePitch="312" w:charSpace="0"/>
        </w:sectPr>
      </w:pPr>
    </w:p>
    <w:p>
      <w:pPr>
        <w:keepNext w:val="0"/>
        <w:keepLines w:val="0"/>
        <w:pageBreakBefore w:val="0"/>
        <w:widowControl w:val="0"/>
        <w:suppressAutoHyphens/>
        <w:kinsoku/>
        <w:wordWrap/>
        <w:overflowPunct/>
        <w:topLinePunct w:val="0"/>
        <w:autoSpaceDE/>
        <w:autoSpaceDN/>
        <w:bidi w:val="0"/>
        <w:adjustRightInd/>
        <w:snapToGrid/>
        <w:spacing w:line="576" w:lineRule="exact"/>
        <w:textAlignment w:val="auto"/>
        <w:rPr>
          <w:rFonts w:ascii="仿宋_GB2312" w:eastAsia="仿宋_GB2312" w:cs="仿宋_GB2312" w:hAnsi="仿宋_GB2312" w:hint="eastAsia"/>
          <w:sz w:val="32"/>
          <w:szCs w:val="32"/>
          <w:lang w:val="en-US" w:eastAsia="zh-CN"/>
        </w:rPr>
      </w:pPr>
    </w:p>
    <w:tbl>
      <w:tblPr>
        <w:jc w:val="left"/>
        <w:tblInd w:w="91" w:type="dxa"/>
        <w:tblW w:w="14083" w:type="dxa"/>
        <w:tblBorders>
          <w:top w:val="none" w:sz="0" w:space="0" w:color="auto"/>
          <w:left w:val="none" w:sz="0" w:space="0" w:color="auto"/>
          <w:bottom w:val="none" w:sz="0" w:space="0" w:color="auto"/>
          <w:right w:val="none" w:sz="0" w:space="0" w:color="auto"/>
        </w:tblBorders>
        <w:shd w:val="clear" w:color="auto" w:fill="auto"/>
        <w:tblCellMar>
          <w:top w:w="0" w:type="dxa"/>
          <w:left w:w="108" w:type="dxa"/>
          <w:bottom w:w="0" w:type="dxa"/>
          <w:right w:w="108" w:type="dxa"/>
        </w:tblCellMar>
      </w:tblPr>
      <w:tblGrid>
        <w:gridCol w:w="2245"/>
        <w:gridCol w:w="1012"/>
        <w:gridCol w:w="357"/>
        <w:gridCol w:w="346"/>
        <w:gridCol w:w="542"/>
        <w:gridCol w:w="528"/>
        <w:gridCol w:w="30"/>
        <w:gridCol w:w="947"/>
        <w:gridCol w:w="91"/>
        <w:gridCol w:w="950"/>
        <w:gridCol w:w="65"/>
        <w:gridCol w:w="1012"/>
        <w:gridCol w:w="219"/>
        <w:gridCol w:w="294"/>
        <w:gridCol w:w="481"/>
        <w:gridCol w:w="361"/>
        <w:gridCol w:w="551"/>
        <w:gridCol w:w="23"/>
        <w:gridCol w:w="671"/>
        <w:gridCol w:w="334"/>
        <w:gridCol w:w="594"/>
        <w:gridCol w:w="366"/>
        <w:gridCol w:w="818"/>
        <w:gridCol w:w="13"/>
        <w:gridCol w:w="608"/>
        <w:gridCol w:w="621"/>
      </w:tblGrid>
      <w:tr>
        <w:trPr>
          <w:trHeight w:val="500"/>
        </w:trPr>
        <w:tc>
          <w:tcPr>
            <w:tcW w:w="2245" w:type="dxa"/>
            <w:tcBorders>
              <w:top w:val="single" w:sz="4" w:space="0" w:color="FFFFFF"/>
              <w:left w:val="single" w:sz="4" w:space="0" w:color="FFFFFF"/>
              <w:bottom w:val="single" w:sz="4" w:space="0" w:color="FFFFFF"/>
              <w:right w:val="single" w:sz="4" w:space="0" w:color="FFFFFF"/>
            </w:tcBorders>
            <w:shd w:val="clear" w:color="auto" w:fill="auto"/>
            <w:noWrap/>
            <w:vAlign w:val="center"/>
          </w:tcPr>
          <w:p>
            <w:pPr>
              <w:keepNext w:val="0"/>
              <w:keepLines w:val="0"/>
              <w:widowControl/>
              <w:suppressLineNumbers w:val="0"/>
              <w:suppressAutoHyphens/>
              <w:jc w:val="left"/>
              <w:textAlignment w:val="center"/>
              <w:rPr>
                <w:rFonts w:ascii="方正黑体简体" w:eastAsia="方正黑体简体" w:cs="方正黑体简体" w:hAnsi="方正黑体简体"/>
                <w:i w:val="0"/>
                <w:iCs w:val="0"/>
                <w:color w:val="000000"/>
                <w:sz w:val="24"/>
                <w:szCs w:val="24"/>
                <w:u w:val="none"/>
              </w:rPr>
            </w:pPr>
            <w:r>
              <w:rPr>
                <w:rFonts w:ascii="方正黑体简体" w:eastAsia="方正黑体简体" w:cs="方正黑体简体" w:hAnsi="方正黑体简体"/>
                <w:i w:val="0"/>
                <w:iCs w:val="0"/>
                <w:color w:val="000000"/>
                <w:kern w:val="0"/>
                <w:sz w:val="24"/>
                <w:szCs w:val="24"/>
                <w:u w:val="none"/>
                <w:lang w:val="en-US" w:eastAsia="zh-CN"/>
              </w:rPr>
              <w:t>附表2</w:t>
            </w:r>
          </w:p>
        </w:tc>
        <w:tc>
          <w:tcPr>
            <w:tcW w:w="1715" w:type="dxa"/>
            <w:gridSpan w:val="3"/>
            <w:tcBorders>
              <w:top w:val="nil"/>
              <w:left w:val="nil"/>
              <w:bottom w:val="nil"/>
              <w:right w:val="nil"/>
            </w:tcBorders>
            <w:shd w:val="clear" w:color="auto" w:fill="auto"/>
            <w:vAlign w:val="center"/>
          </w:tcPr>
          <w:p>
            <w:pPr>
              <w:rPr>
                <w:rFonts w:ascii="黑体" w:eastAsia="黑体" w:cs="黑体" w:hAnsi="黑体" w:hint="eastAsia"/>
                <w:i w:val="0"/>
                <w:iCs w:val="0"/>
                <w:color w:val="000000"/>
                <w:sz w:val="18"/>
                <w:szCs w:val="18"/>
                <w:u w:val="none"/>
              </w:rPr>
            </w:pPr>
          </w:p>
        </w:tc>
        <w:tc>
          <w:tcPr>
            <w:tcW w:w="1100" w:type="dxa"/>
            <w:gridSpan w:val="3"/>
            <w:tcBorders>
              <w:top w:val="single" w:sz="4" w:space="0" w:color="FFFFFF"/>
              <w:left w:val="single" w:sz="4" w:space="0" w:color="FFFFFF"/>
              <w:bottom w:val="single" w:sz="4" w:space="0" w:color="FFFFFF"/>
              <w:right w:val="single" w:sz="4" w:space="0" w:color="FFFFFF"/>
            </w:tcBorders>
            <w:shd w:val="clear" w:color="auto" w:fill="auto"/>
            <w:vAlign w:val="center"/>
          </w:tcPr>
          <w:p>
            <w:pPr>
              <w:rPr>
                <w:rFonts w:ascii="宋体" w:eastAsia="宋体" w:cs="宋体" w:hAnsi="宋体" w:hint="eastAsia"/>
                <w:i w:val="0"/>
                <w:iCs w:val="0"/>
                <w:color w:val="000000"/>
                <w:sz w:val="18"/>
                <w:szCs w:val="18"/>
                <w:u w:val="none"/>
              </w:rPr>
            </w:pPr>
          </w:p>
        </w:tc>
        <w:tc>
          <w:tcPr>
            <w:tcW w:w="947" w:type="dxa"/>
            <w:tcBorders>
              <w:top w:val="single" w:sz="4" w:space="0" w:color="FFFFFF"/>
              <w:left w:val="single" w:sz="4" w:space="0" w:color="FFFFFF"/>
              <w:bottom w:val="single" w:sz="4" w:space="0" w:color="FFFFFF"/>
              <w:right w:val="single" w:sz="4" w:space="0" w:color="FFFFFF"/>
            </w:tcBorders>
            <w:shd w:val="clear" w:color="auto" w:fill="auto"/>
            <w:vAlign w:val="center"/>
          </w:tcPr>
          <w:p>
            <w:pPr>
              <w:rPr>
                <w:rFonts w:ascii="宋体" w:eastAsia="宋体" w:cs="宋体" w:hAnsi="宋体" w:hint="eastAsia"/>
                <w:i w:val="0"/>
                <w:iCs w:val="0"/>
                <w:color w:val="000000"/>
                <w:sz w:val="18"/>
                <w:szCs w:val="18"/>
                <w:u w:val="none"/>
              </w:rPr>
            </w:pPr>
          </w:p>
        </w:tc>
        <w:tc>
          <w:tcPr>
            <w:tcW w:w="1041" w:type="dxa"/>
            <w:gridSpan w:val="2"/>
            <w:tcBorders>
              <w:top w:val="single" w:sz="4" w:space="0" w:color="FFFFFF"/>
              <w:left w:val="single" w:sz="4" w:space="0" w:color="FFFFFF"/>
              <w:bottom w:val="single" w:sz="4" w:space="0" w:color="FFFFFF"/>
              <w:right w:val="single" w:sz="4" w:space="0" w:color="FFFFFF"/>
            </w:tcBorders>
            <w:shd w:val="clear" w:color="auto" w:fill="auto"/>
            <w:vAlign w:val="center"/>
          </w:tcPr>
          <w:p>
            <w:pPr>
              <w:rPr>
                <w:rFonts w:ascii="宋体" w:eastAsia="宋体" w:cs="宋体" w:hAnsi="宋体" w:hint="eastAsia"/>
                <w:i w:val="0"/>
                <w:iCs w:val="0"/>
                <w:color w:val="000000"/>
                <w:sz w:val="18"/>
                <w:szCs w:val="18"/>
                <w:u w:val="none"/>
              </w:rPr>
            </w:pPr>
          </w:p>
        </w:tc>
        <w:tc>
          <w:tcPr>
            <w:tcW w:w="1077" w:type="dxa"/>
            <w:gridSpan w:val="2"/>
            <w:tcBorders>
              <w:top w:val="nil"/>
              <w:left w:val="nil"/>
              <w:bottom w:val="nil"/>
              <w:right w:val="nil"/>
            </w:tcBorders>
            <w:shd w:val="clear" w:color="auto" w:fill="auto"/>
            <w:vAlign w:val="center"/>
          </w:tcPr>
          <w:p>
            <w:pPr>
              <w:rPr>
                <w:rFonts w:ascii="黑体" w:eastAsia="黑体" w:cs="黑体" w:hAnsi="黑体"/>
                <w:i w:val="0"/>
                <w:iCs w:val="0"/>
                <w:color w:val="000000"/>
                <w:sz w:val="18"/>
                <w:szCs w:val="18"/>
                <w:u w:val="none"/>
              </w:rPr>
            </w:pPr>
          </w:p>
        </w:tc>
        <w:tc>
          <w:tcPr>
            <w:tcW w:w="994" w:type="dxa"/>
            <w:gridSpan w:val="3"/>
            <w:tcBorders>
              <w:top w:val="nil"/>
              <w:left w:val="nil"/>
              <w:bottom w:val="nil"/>
              <w:right w:val="nil"/>
            </w:tcBorders>
            <w:shd w:val="clear" w:color="auto" w:fill="auto"/>
            <w:vAlign w:val="center"/>
          </w:tcPr>
          <w:p>
            <w:pPr>
              <w:rPr>
                <w:rFonts w:ascii="黑体" w:eastAsia="黑体" w:cs="黑体" w:hAnsi="黑体"/>
                <w:i w:val="0"/>
                <w:iCs w:val="0"/>
                <w:color w:val="000000"/>
                <w:sz w:val="18"/>
                <w:szCs w:val="18"/>
                <w:u w:val="none"/>
              </w:rPr>
            </w:pPr>
          </w:p>
        </w:tc>
        <w:tc>
          <w:tcPr>
            <w:tcW w:w="912" w:type="dxa"/>
            <w:gridSpan w:val="2"/>
            <w:tcBorders>
              <w:top w:val="nil"/>
              <w:left w:val="nil"/>
              <w:bottom w:val="nil"/>
              <w:right w:val="nil"/>
            </w:tcBorders>
            <w:shd w:val="clear" w:color="auto" w:fill="auto"/>
            <w:vAlign w:val="center"/>
          </w:tcPr>
          <w:p>
            <w:pPr>
              <w:rPr>
                <w:rFonts w:ascii="黑体" w:eastAsia="黑体" w:cs="黑体" w:hAnsi="黑体"/>
                <w:i w:val="0"/>
                <w:iCs w:val="0"/>
                <w:color w:val="000000"/>
                <w:sz w:val="18"/>
                <w:szCs w:val="18"/>
                <w:u w:val="none"/>
              </w:rPr>
            </w:pPr>
          </w:p>
        </w:tc>
        <w:tc>
          <w:tcPr>
            <w:tcW w:w="1028" w:type="dxa"/>
            <w:gridSpan w:val="3"/>
            <w:tcBorders>
              <w:top w:val="nil"/>
              <w:left w:val="nil"/>
              <w:bottom w:val="nil"/>
              <w:right w:val="nil"/>
            </w:tcBorders>
            <w:shd w:val="clear" w:color="auto" w:fill="auto"/>
            <w:noWrap/>
            <w:vAlign w:val="center"/>
          </w:tcPr>
          <w:p>
            <w:pPr>
              <w:rPr>
                <w:rFonts w:ascii="宋体" w:eastAsia="宋体" w:cs="宋体" w:hAnsi="宋体" w:hint="eastAsia"/>
                <w:i w:val="0"/>
                <w:iCs w:val="0"/>
                <w:color w:val="000000"/>
                <w:sz w:val="22"/>
                <w:szCs w:val="22"/>
                <w:u w:val="none"/>
              </w:rPr>
            </w:pPr>
          </w:p>
        </w:tc>
        <w:tc>
          <w:tcPr>
            <w:tcW w:w="960" w:type="dxa"/>
            <w:gridSpan w:val="2"/>
            <w:tcBorders>
              <w:top w:val="nil"/>
              <w:left w:val="nil"/>
              <w:bottom w:val="nil"/>
              <w:right w:val="nil"/>
            </w:tcBorders>
            <w:shd w:val="clear" w:color="auto" w:fill="auto"/>
            <w:noWrap/>
            <w:vAlign w:val="center"/>
          </w:tcPr>
          <w:p>
            <w:pPr>
              <w:rPr>
                <w:rFonts w:ascii="宋体" w:eastAsia="宋体" w:cs="宋体" w:hAnsi="宋体" w:hint="eastAsia"/>
                <w:i w:val="0"/>
                <w:iCs w:val="0"/>
                <w:color w:val="000000"/>
                <w:sz w:val="22"/>
                <w:szCs w:val="22"/>
                <w:u w:val="none"/>
              </w:rPr>
            </w:pPr>
          </w:p>
        </w:tc>
        <w:tc>
          <w:tcPr>
            <w:tcW w:w="817" w:type="dxa"/>
            <w:tcBorders>
              <w:top w:val="nil"/>
              <w:left w:val="nil"/>
              <w:bottom w:val="nil"/>
              <w:right w:val="nil"/>
            </w:tcBorders>
            <w:shd w:val="clear" w:color="auto" w:fill="auto"/>
            <w:vAlign w:val="center"/>
          </w:tcPr>
          <w:p>
            <w:pPr>
              <w:rPr>
                <w:rFonts w:ascii="黑体" w:eastAsia="黑体" w:cs="黑体" w:hAnsi="黑体"/>
                <w:i w:val="0"/>
                <w:iCs w:val="0"/>
                <w:color w:val="000000"/>
                <w:sz w:val="18"/>
                <w:szCs w:val="18"/>
                <w:u w:val="none"/>
              </w:rPr>
            </w:pPr>
          </w:p>
        </w:tc>
        <w:tc>
          <w:tcPr>
            <w:tcW w:w="624" w:type="dxa"/>
            <w:gridSpan w:val="2"/>
            <w:tcBorders>
              <w:top w:val="nil"/>
              <w:left w:val="nil"/>
              <w:bottom w:val="nil"/>
              <w:right w:val="nil"/>
            </w:tcBorders>
            <w:shd w:val="clear" w:color="auto" w:fill="auto"/>
            <w:vAlign w:val="center"/>
          </w:tcPr>
          <w:p>
            <w:pPr>
              <w:rPr>
                <w:rFonts w:ascii="黑体" w:eastAsia="黑体" w:cs="黑体" w:hAnsi="黑体"/>
                <w:i w:val="0"/>
                <w:iCs w:val="0"/>
                <w:color w:val="000000"/>
                <w:sz w:val="18"/>
                <w:szCs w:val="18"/>
                <w:u w:val="none"/>
              </w:rPr>
            </w:pPr>
          </w:p>
        </w:tc>
        <w:tc>
          <w:tcPr>
            <w:tcW w:w="622" w:type="dxa"/>
            <w:tcBorders>
              <w:top w:val="single" w:sz="4" w:space="0" w:color="FFFFFF"/>
              <w:left w:val="single" w:sz="4" w:space="0" w:color="FFFFFF"/>
              <w:bottom w:val="single" w:sz="4" w:space="0" w:color="FFFFFF"/>
              <w:right w:val="single" w:sz="4" w:space="0" w:color="FFFFFF"/>
            </w:tcBorders>
            <w:shd w:val="clear" w:color="auto" w:fill="auto"/>
            <w:vAlign w:val="center"/>
          </w:tcPr>
          <w:p>
            <w:pPr>
              <w:keepNext w:val="0"/>
              <w:keepLines w:val="0"/>
              <w:widowControl/>
              <w:suppressLineNumbers w:val="0"/>
              <w:suppressAutoHyphens/>
              <w:jc w:val="right"/>
              <w:textAlignment w:val="center"/>
              <w:rPr>
                <w:rFonts w:ascii="宋体" w:eastAsia="宋体" w:cs="宋体" w:hAnsi="宋体" w:hint="eastAsia"/>
                <w:i w:val="0"/>
                <w:iCs w:val="0"/>
                <w:color w:val="000000"/>
                <w:sz w:val="22"/>
                <w:szCs w:val="22"/>
                <w:u w:val="none"/>
              </w:rPr>
            </w:pPr>
            <w:r>
              <w:rPr>
                <w:rFonts w:ascii="宋体" w:eastAsia="宋体" w:cs="宋体" w:hAnsi="宋体" w:hint="eastAsia"/>
                <w:i w:val="0"/>
                <w:iCs w:val="0"/>
                <w:color w:val="000000"/>
                <w:kern w:val="0"/>
                <w:sz w:val="22"/>
                <w:szCs w:val="22"/>
                <w:u w:val="none"/>
                <w:lang w:val="en-US" w:eastAsia="zh-CN"/>
              </w:rPr>
              <w:t>表1-1</w:t>
            </w:r>
          </w:p>
        </w:tc>
      </w:tr>
      <w:tr>
        <w:trPr>
          <w:trHeight w:val="456"/>
        </w:trPr>
        <w:tc>
          <w:tcPr>
            <w:tcW w:w="14083" w:type="dxa"/>
            <w:gridSpan w:val="26"/>
            <w:tcBorders>
              <w:top w:val="single" w:sz="4" w:space="0" w:color="FFFFFF"/>
              <w:left w:val="single" w:sz="4" w:space="0" w:color="FFFFFF"/>
              <w:bottom w:val="single" w:sz="4" w:space="0" w:color="FFFFFF"/>
              <w:right w:val="single" w:sz="4" w:space="0" w:color="FFFFFF"/>
            </w:tcBorders>
            <w:shd w:val="clear" w:color="auto" w:fill="auto"/>
            <w:noWrap/>
            <w:vAlign w:val="center"/>
          </w:tcPr>
          <w:p>
            <w:pPr>
              <w:keepNext w:val="0"/>
              <w:keepLines w:val="0"/>
              <w:widowControl/>
              <w:suppressLineNumbers w:val="0"/>
              <w:suppressAutoHyphens/>
              <w:textAlignment w:val="center"/>
            </w:pPr>
          </w:p>
          <w:p>
            <w:pPr>
              <w:keepNext w:val="0"/>
              <w:keepLines w:val="0"/>
              <w:widowControl/>
              <w:suppressLineNumbers w:val="0"/>
              <w:suppressAutoHyphens/>
              <w:jc w:val="center"/>
              <w:textAlignment w:val="center"/>
            </w:pPr>
            <w:r>
              <w:drawing>
                <wp:inline distT="0" distB="0" distL="85723" distR="85723">
                  <wp:extent cx="8284637" cy="1640889"/>
                  <wp:effectExtent l="0" t="0" r="14" b="43"/>
                  <wp:docPr id="4" name="图片"/>
                  <wp:cNvGraphicFramePr>
                    <a:graphicFrameLocks noChangeAspect="1"/>
                  </wp:cNvGraphicFramePr>
                  <a:graphic>
                    <a:graphicData uri="http://schemas.openxmlformats.org/drawingml/2006/picture">
                      <pic:pic>
                        <pic:nvPicPr>
                          <pic:cNvPr id="6" name="图片 6"/>
                          <pic:cNvPicPr/>
                        </pic:nvPicPr>
                        <pic:blipFill>
                          <a:blip r:embed="rId6"/>
                          <a:stretch>
                            <a:fillRect/>
                          </a:stretch>
                        </pic:blipFill>
                        <pic:spPr>
                          <a:xfrm rot="0">
                            <a:off x="0" y="0"/>
                            <a:ext cx="8284637" cy="1640889"/>
                          </a:xfrm>
                          <a:prstGeom prst="rect"/>
                          <a:noFill/>
                          <a:ln w="9525" cmpd="sng" cap="flat">
                            <a:noFill/>
                            <a:prstDash val="solid"/>
                            <a:miter/>
                          </a:ln>
                        </pic:spPr>
                      </pic:pic>
                    </a:graphicData>
                  </a:graphic>
                </wp:inline>
              </w:drawing>
            </w:r>
          </w:p>
          <w:p>
            <w:pPr>
              <w:keepNext w:val="0"/>
              <w:keepLines w:val="0"/>
              <w:widowControl/>
              <w:suppressLineNumbers w:val="0"/>
              <w:suppressAutoHyphens/>
              <w:jc w:val="center"/>
              <w:textAlignment w:val="center"/>
            </w:pPr>
          </w:p>
          <w:p>
            <w:pPr>
              <w:keepNext w:val="0"/>
              <w:keepLines w:val="0"/>
              <w:widowControl/>
              <w:suppressLineNumbers w:val="0"/>
              <w:suppressAutoHyphens/>
              <w:jc w:val="center"/>
              <w:textAlignment w:val="center"/>
            </w:pPr>
          </w:p>
          <w:p>
            <w:pPr>
              <w:keepNext w:val="0"/>
              <w:keepLines w:val="0"/>
              <w:widowControl/>
              <w:suppressLineNumbers w:val="0"/>
              <w:suppressAutoHyphens/>
              <w:jc w:val="center"/>
              <w:textAlignment w:val="center"/>
            </w:pPr>
          </w:p>
          <w:p>
            <w:pPr>
              <w:keepNext w:val="0"/>
              <w:keepLines w:val="0"/>
              <w:widowControl/>
              <w:suppressLineNumbers w:val="0"/>
              <w:suppressAutoHyphens/>
              <w:jc w:val="center"/>
              <w:textAlignment w:val="center"/>
            </w:pPr>
          </w:p>
          <w:p>
            <w:pPr>
              <w:keepNext w:val="0"/>
              <w:keepLines w:val="0"/>
              <w:widowControl/>
              <w:suppressLineNumbers w:val="0"/>
              <w:suppressAutoHyphens/>
              <w:jc w:val="center"/>
              <w:textAlignment w:val="center"/>
            </w:pPr>
          </w:p>
          <w:p>
            <w:pPr>
              <w:keepNext w:val="0"/>
              <w:keepLines w:val="0"/>
              <w:widowControl/>
              <w:suppressLineNumbers w:val="0"/>
              <w:suppressAutoHyphens/>
              <w:jc w:val="center"/>
              <w:textAlignment w:val="center"/>
            </w:pPr>
          </w:p>
          <w:p>
            <w:pPr>
              <w:keepNext w:val="0"/>
              <w:keepLines w:val="0"/>
              <w:widowControl/>
              <w:suppressLineNumbers w:val="0"/>
              <w:suppressAutoHyphens/>
              <w:jc w:val="center"/>
              <w:textAlignment w:val="center"/>
            </w:pPr>
          </w:p>
          <w:p>
            <w:pPr>
              <w:keepNext w:val="0"/>
              <w:keepLines w:val="0"/>
              <w:widowControl/>
              <w:suppressLineNumbers w:val="0"/>
              <w:suppressAutoHyphens/>
              <w:jc w:val="center"/>
              <w:textAlignment w:val="center"/>
            </w:pPr>
          </w:p>
          <w:p>
            <w:pPr>
              <w:keepNext w:val="0"/>
              <w:keepLines w:val="0"/>
              <w:widowControl/>
              <w:suppressLineNumbers w:val="0"/>
              <w:suppressAutoHyphens/>
              <w:jc w:val="center"/>
              <w:textAlignment w:val="center"/>
            </w:pPr>
          </w:p>
          <w:p>
            <w:pPr>
              <w:keepNext w:val="0"/>
              <w:keepLines w:val="0"/>
              <w:widowControl/>
              <w:suppressLineNumbers w:val="0"/>
              <w:suppressAutoHyphens/>
              <w:jc w:val="center"/>
              <w:textAlignment w:val="center"/>
            </w:pPr>
          </w:p>
          <w:p>
            <w:pPr>
              <w:keepNext w:val="0"/>
              <w:keepLines w:val="0"/>
              <w:widowControl/>
              <w:suppressLineNumbers w:val="0"/>
              <w:suppressAutoHyphens/>
              <w:jc w:val="center"/>
              <w:textAlignment w:val="center"/>
              <w:rPr>
                <w:rFonts w:ascii="宋体" w:eastAsia="宋体" w:cs="宋体" w:hAnsi="宋体" w:hint="eastAsia"/>
                <w:b/>
                <w:bCs/>
                <w:i w:val="0"/>
                <w:iCs w:val="0"/>
                <w:color w:val="000000"/>
                <w:sz w:val="32"/>
                <w:szCs w:val="32"/>
                <w:u w:val="none"/>
              </w:rPr>
            </w:pPr>
          </w:p>
        </w:tc>
      </w:tr>
      <w:tr>
        <w:trPr>
          <w:trHeight w:val="500"/>
          <w:gridAfter w:val="3"/>
          <w:wAfter w:w="1242" w:type="dxa"/>
        </w:trPr>
        <w:tc>
          <w:tcPr>
            <w:tcW w:w="3257" w:type="dxa"/>
            <w:gridSpan w:val="2"/>
            <w:tcBorders>
              <w:top w:val="single" w:sz="4" w:space="0" w:color="FFFFFF"/>
              <w:left w:val="single" w:sz="4" w:space="0" w:color="FFFFFF"/>
              <w:bottom w:val="single" w:sz="4" w:space="0" w:color="FFFFFF"/>
              <w:right w:val="single" w:sz="4" w:space="0" w:color="FFFFFF"/>
            </w:tcBorders>
            <w:shd w:val="clear" w:color="auto" w:fill="auto"/>
            <w:noWrap/>
            <w:vAlign w:val="center"/>
          </w:tcPr>
          <w:p>
            <w:pPr>
              <w:keepNext w:val="0"/>
              <w:keepLines w:val="0"/>
              <w:widowControl/>
              <w:suppressLineNumbers w:val="0"/>
              <w:suppressAutoHyphens/>
              <w:jc w:val="left"/>
              <w:textAlignment w:val="center"/>
              <w:rPr>
                <w:rFonts w:ascii="方正黑体简体" w:eastAsia="方正黑体简体" w:cs="方正黑体简体" w:hAnsi="方正黑体简体"/>
                <w:i w:val="0"/>
                <w:iCs w:val="0"/>
                <w:color w:val="000000"/>
                <w:sz w:val="24"/>
                <w:szCs w:val="24"/>
                <w:u w:val="none"/>
              </w:rPr>
            </w:pPr>
            <w:r>
              <w:rPr>
                <w:rFonts w:ascii="方正黑体简体" w:eastAsia="方正黑体简体" w:cs="方正黑体简体" w:hAnsi="方正黑体简体"/>
                <w:i w:val="0"/>
                <w:iCs w:val="0"/>
                <w:color w:val="000000"/>
                <w:kern w:val="0"/>
                <w:sz w:val="24"/>
                <w:szCs w:val="24"/>
                <w:u w:val="none"/>
                <w:lang w:val="en-US" w:eastAsia="zh-CN"/>
              </w:rPr>
              <w:t>附表3</w:t>
            </w:r>
          </w:p>
        </w:tc>
        <w:tc>
          <w:tcPr>
            <w:tcW w:w="1245" w:type="dxa"/>
            <w:gridSpan w:val="3"/>
            <w:tcBorders>
              <w:top w:val="nil"/>
              <w:left w:val="nil"/>
              <w:bottom w:val="nil"/>
              <w:right w:val="nil"/>
            </w:tcBorders>
            <w:shd w:val="clear" w:color="auto" w:fill="auto"/>
            <w:vAlign w:val="center"/>
          </w:tcPr>
          <w:p>
            <w:pPr>
              <w:rPr>
                <w:rFonts w:ascii="黑体" w:eastAsia="黑体" w:cs="黑体" w:hAnsi="黑体" w:hint="eastAsia"/>
                <w:i w:val="0"/>
                <w:iCs w:val="0"/>
                <w:color w:val="000000"/>
                <w:sz w:val="18"/>
                <w:szCs w:val="18"/>
                <w:u w:val="none"/>
              </w:rPr>
            </w:pPr>
          </w:p>
        </w:tc>
        <w:tc>
          <w:tcPr>
            <w:tcW w:w="1596" w:type="dxa"/>
            <w:gridSpan w:val="4"/>
            <w:tcBorders>
              <w:top w:val="nil"/>
              <w:left w:val="nil"/>
              <w:bottom w:val="nil"/>
              <w:right w:val="nil"/>
            </w:tcBorders>
            <w:shd w:val="clear" w:color="auto" w:fill="auto"/>
            <w:vAlign w:val="center"/>
          </w:tcPr>
          <w:p>
            <w:pPr>
              <w:rPr>
                <w:rFonts w:ascii="黑体" w:eastAsia="黑体" w:cs="黑体" w:hAnsi="黑体"/>
                <w:i w:val="0"/>
                <w:iCs w:val="0"/>
                <w:color w:val="000000"/>
                <w:sz w:val="18"/>
                <w:szCs w:val="18"/>
                <w:u w:val="none"/>
              </w:rPr>
            </w:pPr>
          </w:p>
        </w:tc>
        <w:tc>
          <w:tcPr>
            <w:tcW w:w="1015" w:type="dxa"/>
            <w:gridSpan w:val="2"/>
            <w:tcBorders>
              <w:top w:val="single" w:sz="4" w:space="0" w:color="FFFFFF"/>
              <w:left w:val="single" w:sz="4" w:space="0" w:color="FFFFFF"/>
              <w:bottom w:val="single" w:sz="4" w:space="0" w:color="FFFFFF"/>
              <w:right w:val="single" w:sz="4" w:space="0" w:color="FFFFFF"/>
            </w:tcBorders>
            <w:shd w:val="clear" w:color="auto" w:fill="auto"/>
            <w:vAlign w:val="center"/>
          </w:tcPr>
          <w:p>
            <w:pPr>
              <w:rPr>
                <w:rFonts w:ascii="宋体" w:eastAsia="宋体" w:cs="宋体" w:hAnsi="宋体" w:hint="eastAsia"/>
                <w:i w:val="0"/>
                <w:iCs w:val="0"/>
                <w:color w:val="000000"/>
                <w:sz w:val="18"/>
                <w:szCs w:val="18"/>
                <w:u w:val="none"/>
              </w:rPr>
            </w:pPr>
          </w:p>
        </w:tc>
        <w:tc>
          <w:tcPr>
            <w:tcW w:w="1231" w:type="dxa"/>
            <w:gridSpan w:val="2"/>
            <w:tcBorders>
              <w:top w:val="single" w:sz="4" w:space="0" w:color="FFFFFF"/>
              <w:left w:val="single" w:sz="4" w:space="0" w:color="FFFFFF"/>
              <w:bottom w:val="single" w:sz="4" w:space="0" w:color="FFFFFF"/>
              <w:right w:val="single" w:sz="4" w:space="0" w:color="FFFFFF"/>
            </w:tcBorders>
            <w:shd w:val="clear" w:color="auto" w:fill="auto"/>
            <w:vAlign w:val="center"/>
          </w:tcPr>
          <w:p>
            <w:pPr>
              <w:rPr>
                <w:rFonts w:ascii="宋体" w:eastAsia="宋体" w:cs="宋体" w:hAnsi="宋体" w:hint="eastAsia"/>
                <w:i w:val="0"/>
                <w:iCs w:val="0"/>
                <w:color w:val="000000"/>
                <w:sz w:val="18"/>
                <w:szCs w:val="18"/>
                <w:u w:val="none"/>
              </w:rPr>
            </w:pPr>
          </w:p>
        </w:tc>
        <w:tc>
          <w:tcPr>
            <w:tcW w:w="1136" w:type="dxa"/>
            <w:gridSpan w:val="3"/>
            <w:tcBorders>
              <w:top w:val="single" w:sz="4" w:space="0" w:color="FFFFFF"/>
              <w:left w:val="single" w:sz="4" w:space="0" w:color="FFFFFF"/>
              <w:bottom w:val="single" w:sz="4" w:space="0" w:color="FFFFFF"/>
              <w:right w:val="single" w:sz="4" w:space="0" w:color="FFFFFF"/>
            </w:tcBorders>
            <w:shd w:val="clear" w:color="auto" w:fill="auto"/>
            <w:vAlign w:val="center"/>
          </w:tcPr>
          <w:p>
            <w:pPr>
              <w:rPr>
                <w:rFonts w:ascii="宋体" w:eastAsia="宋体" w:cs="宋体" w:hAnsi="宋体" w:hint="eastAsia"/>
                <w:i w:val="0"/>
                <w:iCs w:val="0"/>
                <w:color w:val="000000"/>
                <w:sz w:val="18"/>
                <w:szCs w:val="18"/>
                <w:u w:val="none"/>
              </w:rPr>
            </w:pPr>
          </w:p>
        </w:tc>
        <w:tc>
          <w:tcPr>
            <w:tcW w:w="1245" w:type="dxa"/>
            <w:gridSpan w:val="3"/>
            <w:tcBorders>
              <w:top w:val="single" w:sz="4" w:space="0" w:color="FFFFFF"/>
              <w:left w:val="single" w:sz="4" w:space="0" w:color="FFFFFF"/>
              <w:bottom w:val="single" w:sz="4" w:space="0" w:color="FFFFFF"/>
              <w:right w:val="single" w:sz="4" w:space="0" w:color="FFFFFF"/>
            </w:tcBorders>
            <w:shd w:val="clear" w:color="auto" w:fill="auto"/>
            <w:vAlign w:val="center"/>
          </w:tcPr>
          <w:p>
            <w:pPr>
              <w:rPr>
                <w:rFonts w:ascii="宋体" w:eastAsia="宋体" w:cs="宋体" w:hAnsi="宋体" w:hint="eastAsia"/>
                <w:i w:val="0"/>
                <w:iCs w:val="0"/>
                <w:color w:val="000000"/>
                <w:sz w:val="18"/>
                <w:szCs w:val="18"/>
                <w:u w:val="none"/>
              </w:rPr>
            </w:pPr>
          </w:p>
        </w:tc>
        <w:tc>
          <w:tcPr>
            <w:tcW w:w="2111" w:type="dxa"/>
            <w:gridSpan w:val="4"/>
            <w:tcBorders>
              <w:top w:val="single" w:sz="4" w:space="0" w:color="FFFFFF"/>
              <w:left w:val="single" w:sz="4" w:space="0" w:color="FFFFFF"/>
              <w:bottom w:val="single" w:sz="4" w:space="0" w:color="FFFFFF"/>
              <w:right w:val="single" w:sz="4" w:space="0" w:color="FFFFFF"/>
            </w:tcBorders>
            <w:shd w:val="clear" w:color="auto" w:fill="auto"/>
            <w:vAlign w:val="center"/>
          </w:tcPr>
          <w:p>
            <w:pPr>
              <w:keepNext w:val="0"/>
              <w:keepLines w:val="0"/>
              <w:widowControl/>
              <w:suppressLineNumbers w:val="0"/>
              <w:suppressAutoHyphens/>
              <w:jc w:val="right"/>
              <w:textAlignment w:val="center"/>
              <w:rPr>
                <w:rFonts w:ascii="宋体" w:eastAsia="宋体" w:cs="宋体" w:hAnsi="宋体" w:hint="eastAsia"/>
                <w:i w:val="0"/>
                <w:iCs w:val="0"/>
                <w:color w:val="000000"/>
                <w:sz w:val="22"/>
                <w:szCs w:val="22"/>
                <w:u w:val="none"/>
              </w:rPr>
            </w:pPr>
            <w:r>
              <w:rPr>
                <w:rFonts w:ascii="宋体" w:eastAsia="宋体" w:cs="宋体" w:hAnsi="宋体" w:hint="eastAsia"/>
                <w:i w:val="0"/>
                <w:iCs w:val="0"/>
                <w:color w:val="000000"/>
                <w:kern w:val="0"/>
                <w:sz w:val="22"/>
                <w:szCs w:val="22"/>
                <w:u w:val="none"/>
                <w:lang w:val="en-US" w:eastAsia="zh-CN"/>
              </w:rPr>
              <w:t>表1-2</w:t>
            </w:r>
          </w:p>
        </w:tc>
      </w:tr>
      <w:tr>
        <w:trPr>
          <w:trHeight w:val="456"/>
          <w:gridAfter w:val="3"/>
          <w:wAfter w:w="1242" w:type="dxa"/>
        </w:trPr>
        <w:tc>
          <w:tcPr>
            <w:tcW w:w="12837" w:type="dxa"/>
            <w:gridSpan w:val="23"/>
            <w:tcBorders>
              <w:top w:val="single" w:sz="4" w:space="0" w:color="FFFFFF"/>
              <w:left w:val="single" w:sz="4" w:space="0" w:color="FFFFFF"/>
              <w:bottom w:val="single" w:sz="4" w:space="0" w:color="FFFFFF"/>
              <w:right w:val="single" w:sz="4" w:space="0" w:color="FFFFFF"/>
            </w:tcBorders>
            <w:shd w:val="clear" w:color="auto" w:fill="auto"/>
            <w:noWrap/>
            <w:vAlign w:val="center"/>
          </w:tcPr>
          <w:p>
            <w:pPr>
              <w:keepNext w:val="0"/>
              <w:keepLines w:val="0"/>
              <w:widowControl/>
              <w:suppressLineNumbers w:val="0"/>
              <w:suppressAutoHyphens/>
              <w:jc w:val="center"/>
              <w:textAlignment w:val="center"/>
            </w:pPr>
            <w:r>
              <w:drawing>
                <wp:inline distT="0" distB="0" distL="85723" distR="85723">
                  <wp:extent cx="8100060" cy="2756438"/>
                  <wp:effectExtent l="0" t="0" r="28" b="40"/>
                  <wp:docPr id="7" name="图片"/>
                  <wp:cNvGraphicFramePr>
                    <a:graphicFrameLocks noChangeAspect="1"/>
                  </wp:cNvGraphicFramePr>
                  <a:graphic>
                    <a:graphicData uri="http://schemas.openxmlformats.org/drawingml/2006/picture">
                      <pic:pic>
                        <pic:nvPicPr>
                          <pic:cNvPr id="9" name="图片 9"/>
                          <pic:cNvPicPr/>
                        </pic:nvPicPr>
                        <pic:blipFill>
                          <a:blip r:embed="rId7"/>
                          <a:stretch>
                            <a:fillRect/>
                          </a:stretch>
                        </pic:blipFill>
                        <pic:spPr>
                          <a:xfrm rot="0">
                            <a:off x="0" y="0"/>
                            <a:ext cx="8100060" cy="2756438"/>
                          </a:xfrm>
                          <a:prstGeom prst="rect"/>
                          <a:noFill/>
                          <a:ln w="9525" cmpd="sng" cap="flat">
                            <a:noFill/>
                            <a:prstDash val="solid"/>
                            <a:miter/>
                          </a:ln>
                        </pic:spPr>
                      </pic:pic>
                    </a:graphicData>
                  </a:graphic>
                </wp:inline>
              </w:drawing>
            </w:r>
          </w:p>
          <w:p>
            <w:pPr>
              <w:keepNext w:val="0"/>
              <w:keepLines w:val="0"/>
              <w:widowControl/>
              <w:suppressLineNumbers w:val="0"/>
              <w:suppressAutoHyphens/>
              <w:jc w:val="center"/>
              <w:textAlignment w:val="center"/>
            </w:pPr>
          </w:p>
          <w:p>
            <w:pPr>
              <w:keepNext w:val="0"/>
              <w:keepLines w:val="0"/>
              <w:widowControl/>
              <w:suppressLineNumbers w:val="0"/>
              <w:suppressAutoHyphens/>
              <w:jc w:val="center"/>
              <w:textAlignment w:val="center"/>
            </w:pPr>
          </w:p>
          <w:p>
            <w:pPr>
              <w:keepNext w:val="0"/>
              <w:keepLines w:val="0"/>
              <w:widowControl/>
              <w:suppressLineNumbers w:val="0"/>
              <w:suppressAutoHyphens/>
              <w:jc w:val="center"/>
              <w:textAlignment w:val="center"/>
            </w:pPr>
          </w:p>
          <w:p>
            <w:pPr>
              <w:keepNext w:val="0"/>
              <w:keepLines w:val="0"/>
              <w:widowControl/>
              <w:suppressLineNumbers w:val="0"/>
              <w:suppressAutoHyphens/>
              <w:jc w:val="center"/>
              <w:textAlignment w:val="center"/>
            </w:pPr>
          </w:p>
          <w:p>
            <w:pPr>
              <w:keepNext w:val="0"/>
              <w:keepLines w:val="0"/>
              <w:widowControl/>
              <w:suppressLineNumbers w:val="0"/>
              <w:suppressAutoHyphens/>
              <w:jc w:val="center"/>
              <w:textAlignment w:val="center"/>
            </w:pPr>
          </w:p>
          <w:p>
            <w:pPr>
              <w:keepNext w:val="0"/>
              <w:keepLines w:val="0"/>
              <w:widowControl/>
              <w:suppressLineNumbers w:val="0"/>
              <w:suppressAutoHyphens/>
              <w:jc w:val="center"/>
              <w:textAlignment w:val="center"/>
            </w:pPr>
          </w:p>
          <w:p>
            <w:pPr>
              <w:keepNext w:val="0"/>
              <w:keepLines w:val="0"/>
              <w:widowControl/>
              <w:suppressLineNumbers w:val="0"/>
              <w:suppressAutoHyphens/>
              <w:jc w:val="center"/>
              <w:textAlignment w:val="center"/>
            </w:pPr>
          </w:p>
          <w:p>
            <w:pPr>
              <w:keepNext w:val="0"/>
              <w:keepLines w:val="0"/>
              <w:widowControl/>
              <w:suppressLineNumbers w:val="0"/>
              <w:suppressAutoHyphens/>
              <w:jc w:val="center"/>
              <w:textAlignment w:val="center"/>
            </w:pPr>
          </w:p>
          <w:p>
            <w:pPr>
              <w:keepNext w:val="0"/>
              <w:keepLines w:val="0"/>
              <w:widowControl/>
              <w:suppressLineNumbers w:val="0"/>
              <w:suppressAutoHyphens/>
              <w:jc w:val="center"/>
              <w:textAlignment w:val="center"/>
            </w:pPr>
          </w:p>
          <w:p>
            <w:pPr>
              <w:keepNext w:val="0"/>
              <w:keepLines w:val="0"/>
              <w:widowControl/>
              <w:suppressLineNumbers w:val="0"/>
              <w:suppressAutoHyphens/>
              <w:jc w:val="center"/>
              <w:textAlignment w:val="center"/>
            </w:pPr>
          </w:p>
          <w:p>
            <w:pPr>
              <w:keepNext w:val="0"/>
              <w:keepLines w:val="0"/>
              <w:widowControl/>
              <w:suppressLineNumbers w:val="0"/>
              <w:suppressAutoHyphens/>
              <w:textAlignment w:val="center"/>
            </w:pPr>
          </w:p>
        </w:tc>
      </w:tr>
      <w:tr>
        <w:trPr>
          <w:trHeight w:val="500"/>
        </w:trPr>
        <w:tc>
          <w:tcPr>
            <w:tcW w:w="3614" w:type="dxa"/>
            <w:gridSpan w:val="3"/>
            <w:tcBorders>
              <w:top w:val="single" w:sz="4" w:space="0" w:color="FFFFFF"/>
              <w:left w:val="single" w:sz="4" w:space="0" w:color="FFFFFF"/>
              <w:bottom w:val="single" w:sz="4" w:space="0" w:color="FFFFFF"/>
              <w:right w:val="single" w:sz="4" w:space="0" w:color="FFFFFF"/>
            </w:tcBorders>
            <w:shd w:val="clear" w:color="auto" w:fill="auto"/>
            <w:noWrap/>
            <w:vAlign w:val="center"/>
          </w:tcPr>
          <w:p>
            <w:pPr>
              <w:keepNext w:val="0"/>
              <w:keepLines w:val="0"/>
              <w:widowControl/>
              <w:suppressLineNumbers w:val="0"/>
              <w:suppressAutoHyphens/>
              <w:jc w:val="left"/>
              <w:textAlignment w:val="center"/>
              <w:rPr>
                <w:rFonts w:ascii="仿宋" w:eastAsia="仿宋" w:cs="仿宋" w:hAnsi="仿宋" w:hint="eastAsia"/>
                <w:i w:val="0"/>
                <w:iCs w:val="0"/>
                <w:color w:val="000000"/>
                <w:sz w:val="24"/>
                <w:szCs w:val="24"/>
                <w:u w:val="none"/>
              </w:rPr>
            </w:pPr>
            <w:r>
              <w:rPr>
                <w:rFonts w:ascii="仿宋" w:eastAsia="仿宋" w:cs="仿宋" w:hAnsi="仿宋" w:hint="eastAsia"/>
                <w:i w:val="0"/>
                <w:iCs w:val="0"/>
                <w:color w:val="000000"/>
                <w:kern w:val="0"/>
                <w:sz w:val="24"/>
                <w:szCs w:val="24"/>
                <w:u w:val="none"/>
                <w:lang w:val="en-US" w:eastAsia="zh-CN"/>
              </w:rPr>
              <w:t>附表4</w:t>
            </w:r>
          </w:p>
        </w:tc>
        <w:tc>
          <w:tcPr>
            <w:tcW w:w="1416" w:type="dxa"/>
            <w:gridSpan w:val="3"/>
            <w:tcBorders>
              <w:top w:val="single" w:sz="4" w:space="0" w:color="FFFFFF"/>
              <w:left w:val="single" w:sz="4" w:space="0" w:color="FFFFFF"/>
              <w:bottom w:val="single" w:sz="4" w:space="0" w:color="FFFFFF"/>
              <w:right w:val="single" w:sz="4" w:space="0" w:color="FFFFFF"/>
            </w:tcBorders>
            <w:shd w:val="clear" w:color="auto" w:fill="auto"/>
            <w:noWrap/>
            <w:vAlign w:val="center"/>
          </w:tcPr>
          <w:p>
            <w:pPr>
              <w:rPr>
                <w:rFonts w:ascii="仿宋" w:eastAsia="仿宋" w:cs="仿宋" w:hAnsi="仿宋" w:hint="eastAsia"/>
                <w:i w:val="0"/>
                <w:iCs w:val="0"/>
                <w:color w:val="000000"/>
                <w:sz w:val="18"/>
                <w:szCs w:val="18"/>
                <w:u w:val="none"/>
              </w:rPr>
            </w:pPr>
          </w:p>
        </w:tc>
        <w:tc>
          <w:tcPr>
            <w:tcW w:w="3608" w:type="dxa"/>
            <w:gridSpan w:val="8"/>
            <w:tcBorders>
              <w:top w:val="single" w:sz="4" w:space="0" w:color="FFFFFF"/>
              <w:left w:val="single" w:sz="4" w:space="0" w:color="FFFFFF"/>
              <w:bottom w:val="single" w:sz="4" w:space="0" w:color="FFFFFF"/>
              <w:right w:val="single" w:sz="4" w:space="0" w:color="FFFFFF"/>
            </w:tcBorders>
            <w:shd w:val="clear" w:color="auto" w:fill="auto"/>
            <w:noWrap/>
            <w:vAlign w:val="center"/>
          </w:tcPr>
          <w:p>
            <w:pPr>
              <w:rPr>
                <w:rFonts w:ascii="仿宋" w:eastAsia="仿宋" w:cs="仿宋" w:hAnsi="仿宋" w:hint="eastAsia"/>
                <w:i w:val="0"/>
                <w:iCs w:val="0"/>
                <w:color w:val="000000"/>
                <w:sz w:val="18"/>
                <w:szCs w:val="18"/>
                <w:u w:val="none"/>
              </w:rPr>
            </w:pPr>
          </w:p>
        </w:tc>
        <w:tc>
          <w:tcPr>
            <w:tcW w:w="1416" w:type="dxa"/>
            <w:gridSpan w:val="4"/>
            <w:tcBorders>
              <w:top w:val="nil"/>
              <w:left w:val="nil"/>
              <w:bottom w:val="nil"/>
              <w:right w:val="nil"/>
            </w:tcBorders>
            <w:shd w:val="clear" w:color="auto" w:fill="auto"/>
            <w:noWrap/>
            <w:vAlign w:val="center"/>
          </w:tcPr>
          <w:p>
            <w:pPr>
              <w:rPr>
                <w:rFonts w:ascii="仿宋" w:eastAsia="仿宋" w:cs="仿宋" w:hAnsi="仿宋" w:hint="eastAsia"/>
                <w:i w:val="0"/>
                <w:iCs w:val="0"/>
                <w:color w:val="000000"/>
                <w:sz w:val="22"/>
                <w:szCs w:val="22"/>
                <w:u w:val="none"/>
              </w:rPr>
            </w:pPr>
          </w:p>
        </w:tc>
        <w:tc>
          <w:tcPr>
            <w:tcW w:w="1599" w:type="dxa"/>
            <w:gridSpan w:val="3"/>
            <w:tcBorders>
              <w:top w:val="nil"/>
              <w:left w:val="nil"/>
              <w:bottom w:val="nil"/>
              <w:right w:val="nil"/>
            </w:tcBorders>
            <w:shd w:val="clear" w:color="auto" w:fill="auto"/>
            <w:noWrap/>
            <w:vAlign w:val="center"/>
          </w:tcPr>
          <w:p>
            <w:pPr>
              <w:rPr>
                <w:rFonts w:ascii="仿宋" w:eastAsia="仿宋" w:cs="仿宋" w:hAnsi="仿宋" w:hint="eastAsia"/>
                <w:i w:val="0"/>
                <w:iCs w:val="0"/>
                <w:color w:val="000000"/>
                <w:sz w:val="22"/>
                <w:szCs w:val="22"/>
                <w:u w:val="none"/>
              </w:rPr>
            </w:pPr>
          </w:p>
        </w:tc>
        <w:tc>
          <w:tcPr>
            <w:tcW w:w="1199" w:type="dxa"/>
            <w:gridSpan w:val="3"/>
            <w:tcBorders>
              <w:top w:val="nil"/>
              <w:left w:val="nil"/>
              <w:bottom w:val="nil"/>
              <w:right w:val="nil"/>
            </w:tcBorders>
            <w:shd w:val="clear" w:color="auto" w:fill="auto"/>
            <w:noWrap/>
            <w:vAlign w:val="center"/>
          </w:tcPr>
          <w:p>
            <w:pPr>
              <w:rPr>
                <w:rFonts w:ascii="仿宋" w:eastAsia="仿宋" w:cs="仿宋" w:hAnsi="仿宋" w:hint="eastAsia"/>
                <w:i w:val="0"/>
                <w:iCs w:val="0"/>
                <w:color w:val="000000"/>
                <w:sz w:val="22"/>
                <w:szCs w:val="22"/>
                <w:u w:val="none"/>
              </w:rPr>
            </w:pPr>
          </w:p>
        </w:tc>
        <w:tc>
          <w:tcPr>
            <w:tcW w:w="1230" w:type="dxa"/>
            <w:gridSpan w:val="2"/>
            <w:tcBorders>
              <w:top w:val="single" w:sz="4" w:space="0" w:color="FFFFFF"/>
              <w:left w:val="single" w:sz="4" w:space="0" w:color="FFFFFF"/>
              <w:bottom w:val="single" w:sz="4" w:space="0" w:color="FFFFFF"/>
              <w:right w:val="single" w:sz="4" w:space="0" w:color="FFFFFF"/>
            </w:tcBorders>
            <w:shd w:val="clear" w:color="auto" w:fill="auto"/>
            <w:noWrap/>
            <w:vAlign w:val="center"/>
          </w:tcPr>
          <w:p>
            <w:pPr>
              <w:keepNext w:val="0"/>
              <w:keepLines w:val="0"/>
              <w:widowControl/>
              <w:suppressLineNumbers w:val="0"/>
              <w:suppressAutoHyphens/>
              <w:jc w:val="right"/>
              <w:textAlignment w:val="center"/>
              <w:rPr>
                <w:rFonts w:ascii="仿宋" w:eastAsia="仿宋" w:cs="仿宋" w:hAnsi="仿宋" w:hint="eastAsia"/>
                <w:i w:val="0"/>
                <w:iCs w:val="0"/>
                <w:color w:val="000000"/>
                <w:sz w:val="22"/>
                <w:szCs w:val="22"/>
                <w:u w:val="none"/>
              </w:rPr>
            </w:pPr>
            <w:r>
              <w:rPr>
                <w:rFonts w:ascii="仿宋" w:eastAsia="仿宋" w:cs="仿宋" w:hAnsi="仿宋" w:hint="eastAsia"/>
                <w:i w:val="0"/>
                <w:iCs w:val="0"/>
                <w:color w:val="000000"/>
                <w:kern w:val="0"/>
                <w:sz w:val="22"/>
                <w:szCs w:val="22"/>
                <w:u w:val="none"/>
                <w:lang w:val="en-US" w:eastAsia="zh-CN"/>
              </w:rPr>
              <w:br/>
              <w:t>表2</w:t>
            </w:r>
          </w:p>
        </w:tc>
      </w:tr>
      <w:tr>
        <w:trPr>
          <w:trHeight w:val="456"/>
        </w:trPr>
        <w:tc>
          <w:tcPr>
            <w:tcW w:w="14083" w:type="dxa"/>
            <w:gridSpan w:val="26"/>
            <w:tcBorders>
              <w:top w:val="single" w:sz="4" w:space="0" w:color="FFFFFF"/>
              <w:left w:val="single" w:sz="4" w:space="0" w:color="FFFFFF"/>
              <w:bottom w:val="single" w:sz="4" w:space="0" w:color="FFFFFF"/>
              <w:right w:val="single" w:sz="4" w:space="0" w:color="FFFFFF"/>
            </w:tcBorders>
            <w:shd w:val="clear" w:color="auto" w:fill="auto"/>
            <w:noWrap/>
            <w:vAlign w:val="center"/>
          </w:tcPr>
          <w:p>
            <w:pPr>
              <w:keepNext w:val="0"/>
              <w:keepLines w:val="0"/>
              <w:widowControl/>
              <w:suppressLineNumbers w:val="0"/>
              <w:suppressAutoHyphens/>
              <w:jc w:val="center"/>
              <w:textAlignment w:val="center"/>
              <w:rPr>
                <w:rFonts w:ascii="黑体" w:eastAsia="黑体" w:cs="黑体" w:hAnsi="宋体"/>
                <w:b/>
                <w:bCs/>
                <w:color w:val="000000"/>
                <w:kern w:val="0"/>
                <w:sz w:val="32"/>
                <w:szCs w:val="32"/>
              </w:rPr>
            </w:pPr>
            <w:r>
              <w:rPr>
                <w:rFonts w:ascii="黑体" w:eastAsia="黑体" w:cs="黑体" w:hAnsi="宋体"/>
                <w:b/>
                <w:bCs/>
                <w:color w:val="000000"/>
                <w:kern w:val="0"/>
                <w:sz w:val="32"/>
                <w:szCs w:val="32"/>
              </w:rPr>
              <w:drawing>
                <wp:inline distT="0" distB="0" distL="85723" distR="85723">
                  <wp:extent cx="6724613" cy="4920301"/>
                  <wp:effectExtent l="0" t="0" r="30" b="47"/>
                  <wp:docPr id="10" name="图片"/>
                  <wp:cNvGraphicFramePr>
                    <a:graphicFrameLocks noChangeAspect="1"/>
                  </wp:cNvGraphicFramePr>
                  <a:graphic>
                    <a:graphicData uri="http://schemas.openxmlformats.org/drawingml/2006/picture">
                      <pic:pic>
                        <pic:nvPicPr>
                          <pic:cNvPr id="12" name="图片 12"/>
                          <pic:cNvPicPr/>
                        </pic:nvPicPr>
                        <pic:blipFill>
                          <a:blip r:embed="rId8"/>
                          <a:stretch>
                            <a:fillRect/>
                          </a:stretch>
                        </pic:blipFill>
                        <pic:spPr>
                          <a:xfrm rot="0">
                            <a:off x="0" y="0"/>
                            <a:ext cx="6724613" cy="4920301"/>
                          </a:xfrm>
                          <a:prstGeom prst="rect"/>
                          <a:noFill/>
                          <a:ln w="9525" cmpd="sng" cap="flat">
                            <a:noFill/>
                            <a:prstDash val="solid"/>
                            <a:miter/>
                          </a:ln>
                        </pic:spPr>
                      </pic:pic>
                    </a:graphicData>
                  </a:graphic>
                </wp:inline>
              </w:drawing>
            </w:r>
          </w:p>
        </w:tc>
      </w:tr>
    </w:tbl>
    <w:p>
      <w:pPr>
        <w:rPr>
          <w:rFonts w:ascii="仿宋" w:eastAsia="仿宋" w:cs="仿宋" w:hAnsi="仿宋" w:hint="eastAsia"/>
          <w:sz w:val="24"/>
          <w:lang w:val="en-US" w:eastAsia="zh-CN"/>
        </w:rPr>
      </w:pPr>
      <w:r>
        <w:rPr>
          <w:rFonts w:ascii="仿宋" w:eastAsia="仿宋" w:cs="仿宋" w:hAnsi="仿宋" w:hint="eastAsia"/>
          <w:sz w:val="24"/>
          <w:lang w:val="en-US" w:eastAsia="zh-CN"/>
        </w:rPr>
        <w:t xml:space="preserve">附表5                              </w:t>
      </w:r>
      <w:r>
        <w:rPr>
          <w:rFonts w:ascii="仿宋" w:eastAsia="仿宋" w:cs="仿宋" w:hAnsi="仿宋"/>
          <w:sz w:val="24"/>
          <w:lang w:val="en-US" w:eastAsia="zh-CN"/>
        </w:rPr>
        <w:t xml:space="preserve">              </w:t>
      </w:r>
      <w:r>
        <w:rPr>
          <w:rFonts w:ascii="仿宋" w:eastAsia="仿宋" w:cs="仿宋" w:hAnsi="仿宋" w:hint="eastAsia"/>
          <w:sz w:val="24"/>
          <w:lang w:val="en-US" w:eastAsia="zh-CN"/>
        </w:rPr>
        <w:t xml:space="preserve">                           表2-1</w:t>
      </w:r>
    </w:p>
    <w:tbl>
      <w:tblPr>
        <w:jc w:val="left"/>
        <w:tblInd w:w="96" w:type="dxa"/>
        <w:tblW w:w="13560" w:type="dxa"/>
        <w:tblBorders>
          <w:top w:val="none" w:sz="0" w:space="0" w:color="auto"/>
          <w:left w:val="none" w:sz="0" w:space="0" w:color="auto"/>
          <w:bottom w:val="none" w:sz="0" w:space="0" w:color="auto"/>
          <w:right w:val="none" w:sz="0" w:space="0" w:color="auto"/>
        </w:tblBorders>
        <w:shd w:val="clear" w:color="auto" w:fill="auto"/>
        <w:tblCellMar>
          <w:top w:w="0" w:type="dxa"/>
          <w:left w:w="108" w:type="dxa"/>
          <w:bottom w:w="0" w:type="dxa"/>
          <w:right w:w="108" w:type="dxa"/>
        </w:tblCellMar>
      </w:tblPr>
      <w:tblGrid>
        <w:gridCol w:w="12221"/>
        <w:gridCol w:w="665"/>
        <w:gridCol w:w="225"/>
        <w:gridCol w:w="225"/>
        <w:gridCol w:w="225"/>
      </w:tblGrid>
      <w:tr>
        <w:trPr>
          <w:trHeight w:val="500"/>
        </w:trPr>
        <w:tc>
          <w:tcPr>
            <w:tcW w:w="1330" w:type="dxa"/>
            <w:tcBorders>
              <w:top w:val="single" w:sz="4" w:space="0" w:color="FFFFFF"/>
              <w:left w:val="single" w:sz="4" w:space="0" w:color="FFFFFF"/>
              <w:bottom w:val="single" w:sz="4" w:space="0" w:color="FFFFFF"/>
              <w:right w:val="single" w:sz="4" w:space="0" w:color="FFFFFF"/>
            </w:tcBorders>
            <w:shd w:val="clear" w:color="auto" w:fill="auto"/>
            <w:noWrap/>
            <w:vAlign w:val="center"/>
          </w:tcPr>
          <w:p>
            <w:pPr>
              <w:rPr>
                <w:rFonts w:ascii="方正黑体简体" w:eastAsia="方正黑体简体" w:cs="方正黑体简体" w:hAnsi="方正黑体简体"/>
                <w:i w:val="0"/>
                <w:iCs w:val="0"/>
                <w:color w:val="000000"/>
                <w:sz w:val="24"/>
                <w:szCs w:val="24"/>
                <w:u w:val="none"/>
              </w:rPr>
            </w:pPr>
            <w:r>
              <w:rPr>
                <w:rFonts w:ascii="方正黑体简体" w:eastAsia="方正黑体简体" w:cs="方正黑体简体" w:hAnsi="方正黑体简体"/>
                <w:i w:val="0"/>
                <w:iCs w:val="0"/>
                <w:color w:val="000000"/>
                <w:kern w:val="0"/>
                <w:sz w:val="24"/>
                <w:szCs w:val="24"/>
                <w:u w:val="none"/>
                <w:lang w:val="en-US" w:eastAsia="zh-CN"/>
              </w:rPr>
              <w:drawing>
                <wp:inline distT="0" distB="0" distL="85723" distR="85723">
                  <wp:extent cx="7907867" cy="5067417"/>
                  <wp:effectExtent l="0" t="0" r="48" b="4"/>
                  <wp:docPr id="13" name="图片"/>
                  <wp:cNvGraphicFramePr>
                    <a:graphicFrameLocks noChangeAspect="1"/>
                  </wp:cNvGraphicFramePr>
                  <a:graphic>
                    <a:graphicData uri="http://schemas.openxmlformats.org/drawingml/2006/picture">
                      <pic:pic>
                        <pic:nvPicPr>
                          <pic:cNvPr id="15" name="图片 15"/>
                          <pic:cNvPicPr/>
                        </pic:nvPicPr>
                        <pic:blipFill>
                          <a:blip r:embed="rId9"/>
                          <a:stretch>
                            <a:fillRect/>
                          </a:stretch>
                        </pic:blipFill>
                        <pic:spPr>
                          <a:xfrm rot="0">
                            <a:off x="0" y="0"/>
                            <a:ext cx="7907867" cy="5067417"/>
                          </a:xfrm>
                          <a:prstGeom prst="rect"/>
                          <a:noFill/>
                          <a:ln w="9525" cmpd="sng" cap="flat">
                            <a:noFill/>
                            <a:prstDash val="solid"/>
                            <a:miter/>
                          </a:ln>
                        </pic:spPr>
                      </pic:pic>
                    </a:graphicData>
                  </a:graphic>
                </wp:inline>
              </w:drawing>
            </w:r>
            <w:r>
              <w:rPr>
                <w:rFonts w:ascii="方正黑体简体" w:eastAsia="方正黑体简体" w:cs="方正黑体简体" w:hAnsi="方正黑体简体"/>
                <w:i w:val="0"/>
                <w:iCs w:val="0"/>
                <w:color w:val="000000"/>
                <w:kern w:val="0"/>
                <w:sz w:val="24"/>
                <w:szCs w:val="24"/>
                <w:u w:val="none"/>
                <w:lang w:val="en-US" w:eastAsia="zh-CN"/>
              </w:rPr>
              <w:t>附表6</w:t>
            </w:r>
          </w:p>
        </w:tc>
        <w:tc>
          <w:tcPr>
            <w:tcW w:w="665" w:type="dxa"/>
            <w:tcBorders>
              <w:top w:val="single" w:sz="4" w:space="0" w:color="FFFFFF"/>
              <w:left w:val="single" w:sz="4" w:space="0" w:color="FFFFFF"/>
              <w:bottom w:val="single" w:sz="4" w:space="0" w:color="FFFFFF"/>
              <w:right w:val="single" w:sz="4" w:space="0" w:color="FFFFFF"/>
            </w:tcBorders>
            <w:shd w:val="clear" w:color="auto" w:fill="auto"/>
            <w:noWrap/>
            <w:vAlign w:val="center"/>
          </w:tcPr>
          <w:p>
            <w:pPr>
              <w:rPr>
                <w:rFonts w:ascii="方正黑体简体" w:eastAsia="方正黑体简体" w:cs="方正黑体简体" w:hAnsi="方正黑体简体"/>
                <w:i w:val="0"/>
                <w:iCs w:val="0"/>
                <w:color w:val="000000"/>
                <w:sz w:val="24"/>
                <w:szCs w:val="24"/>
                <w:u w:val="none"/>
              </w:rPr>
            </w:pPr>
          </w:p>
        </w:tc>
        <w:tc>
          <w:tcPr>
            <w:tcW w:w="1817" w:type="dxa"/>
            <w:tcBorders>
              <w:top w:val="nil"/>
              <w:left w:val="nil"/>
              <w:bottom w:val="nil"/>
              <w:right w:val="nil"/>
            </w:tcBorders>
            <w:shd w:val="clear" w:color="auto" w:fill="auto"/>
            <w:vAlign w:val="center"/>
          </w:tcPr>
          <w:p>
            <w:pPr>
              <w:rPr>
                <w:rFonts w:ascii="黑体" w:eastAsia="黑体" w:cs="黑体" w:hAnsi="黑体" w:hint="eastAsia"/>
                <w:i w:val="0"/>
                <w:iCs w:val="0"/>
                <w:color w:val="000000"/>
                <w:sz w:val="18"/>
                <w:szCs w:val="18"/>
                <w:u w:val="none"/>
              </w:rPr>
            </w:pPr>
          </w:p>
        </w:tc>
        <w:tc>
          <w:tcPr>
            <w:tcW w:w="4431" w:type="dxa"/>
            <w:tcBorders>
              <w:top w:val="nil"/>
              <w:left w:val="nil"/>
              <w:bottom w:val="nil"/>
              <w:right w:val="nil"/>
            </w:tcBorders>
            <w:shd w:val="clear" w:color="auto" w:fill="auto"/>
            <w:vAlign w:val="center"/>
          </w:tcPr>
          <w:p>
            <w:pPr>
              <w:rPr>
                <w:rFonts w:ascii="黑体" w:eastAsia="黑体" w:cs="黑体" w:hAnsi="黑体"/>
                <w:i w:val="0"/>
                <w:iCs w:val="0"/>
                <w:color w:val="000000"/>
                <w:sz w:val="18"/>
                <w:szCs w:val="18"/>
                <w:u w:val="none"/>
              </w:rPr>
            </w:pPr>
          </w:p>
        </w:tc>
        <w:tc>
          <w:tcPr>
            <w:tcW w:w="5317" w:type="dxa"/>
            <w:tcBorders>
              <w:top w:val="single" w:sz="4" w:space="0" w:color="FFFFFF"/>
              <w:left w:val="single" w:sz="4" w:space="0" w:color="FFFFFF"/>
              <w:bottom w:val="single" w:sz="4" w:space="0" w:color="FFFFFF"/>
              <w:right w:val="single" w:sz="4" w:space="0" w:color="FFFFFF"/>
            </w:tcBorders>
            <w:shd w:val="clear" w:color="auto" w:fill="auto"/>
            <w:vAlign w:val="center"/>
          </w:tcPr>
          <w:p>
            <w:pPr>
              <w:jc w:val="right"/>
              <w:rPr>
                <w:rFonts w:ascii="宋体" w:eastAsia="宋体" w:cs="宋体" w:hAnsi="宋体" w:hint="eastAsia"/>
                <w:i w:val="0"/>
                <w:iCs w:val="0"/>
                <w:color w:val="000000"/>
                <w:sz w:val="22"/>
                <w:szCs w:val="22"/>
                <w:u w:val="none"/>
              </w:rPr>
            </w:pPr>
          </w:p>
        </w:tc>
      </w:tr>
    </w:tbl>
    <w:p>
      <w:pPr>
        <w:rPr>
          <w:rFonts w:ascii="仿宋_GB2312" w:eastAsia="仿宋_GB2312" w:cs="仿宋_GB2312" w:hAnsi="仿宋_GB2312" w:hint="eastAsia"/>
          <w:sz w:val="32"/>
          <w:szCs w:val="32"/>
          <w:lang w:val="en-US" w:eastAsia="zh-CN"/>
        </w:rPr>
      </w:pPr>
      <w:r>
        <w:rPr>
          <w:rFonts w:ascii="仿宋_GB2312" w:eastAsia="仿宋_GB2312" w:cs="仿宋_GB2312" w:hAnsi="仿宋_GB2312" w:hint="eastAsia"/>
          <w:sz w:val="32"/>
          <w:szCs w:val="32"/>
          <w:lang w:val="en-US" w:eastAsia="zh-CN"/>
        </w:rPr>
        <w:drawing>
          <wp:inline distT="0" distB="0" distL="85723" distR="85723">
            <wp:extent cx="8100060" cy="2756438"/>
            <wp:effectExtent l="0" t="0" r="28" b="40"/>
            <wp:docPr id="16" name="图片"/>
            <wp:cNvGraphicFramePr>
              <a:graphicFrameLocks noChangeAspect="1"/>
            </wp:cNvGraphicFramePr>
            <a:graphic>
              <a:graphicData uri="http://schemas.openxmlformats.org/drawingml/2006/picture">
                <pic:pic>
                  <pic:nvPicPr>
                    <pic:cNvPr id="18" name="图片 18"/>
                    <pic:cNvPicPr/>
                  </pic:nvPicPr>
                  <pic:blipFill>
                    <a:blip r:embed="rId10"/>
                    <a:stretch>
                      <a:fillRect/>
                    </a:stretch>
                  </pic:blipFill>
                  <pic:spPr>
                    <a:xfrm rot="0">
                      <a:off x="0" y="0"/>
                      <a:ext cx="8100060" cy="2756438"/>
                    </a:xfrm>
                    <a:prstGeom prst="rect"/>
                    <a:noFill/>
                    <a:ln w="9525" cmpd="sng" cap="flat">
                      <a:noFill/>
                      <a:prstDash val="solid"/>
                      <a:miter/>
                    </a:ln>
                  </pic:spPr>
                </pic:pic>
              </a:graphicData>
            </a:graphic>
          </wp:inline>
        </w:drawing>
      </w:r>
      <w:r>
        <w:rPr>
          <w:rFonts w:ascii="仿宋_GB2312" w:eastAsia="仿宋_GB2312" w:cs="仿宋_GB2312" w:hAnsi="仿宋_GB2312" w:hint="eastAsia"/>
          <w:sz w:val="32"/>
          <w:szCs w:val="32"/>
          <w:lang w:val="en-US" w:eastAsia="zh-CN"/>
        </w:rPr>
        <w:br w:type="page"/>
      </w:r>
    </w:p>
    <w:tbl>
      <w:tblPr>
        <w:jc w:val="left"/>
        <w:tblInd w:w="96" w:type="dxa"/>
        <w:tblW w:w="14017" w:type="dxa"/>
        <w:tblBorders>
          <w:top w:val="none" w:sz="0" w:space="0" w:color="auto"/>
          <w:left w:val="none" w:sz="0" w:space="0" w:color="auto"/>
          <w:bottom w:val="none" w:sz="0" w:space="0" w:color="auto"/>
          <w:right w:val="none" w:sz="0" w:space="0" w:color="auto"/>
        </w:tblBorders>
        <w:shd w:val="clear" w:color="auto" w:fill="auto"/>
        <w:tblCellMar>
          <w:top w:w="0" w:type="dxa"/>
          <w:left w:w="108" w:type="dxa"/>
          <w:bottom w:w="0" w:type="dxa"/>
          <w:right w:w="108" w:type="dxa"/>
        </w:tblCellMar>
      </w:tblPr>
      <w:tblGrid>
        <w:gridCol w:w="1330"/>
        <w:gridCol w:w="2630"/>
        <w:gridCol w:w="4426"/>
        <w:gridCol w:w="1877"/>
        <w:gridCol w:w="1877"/>
        <w:gridCol w:w="1877"/>
      </w:tblGrid>
      <w:tr>
        <w:trPr>
          <w:trHeight w:val="500"/>
        </w:trPr>
        <w:tc>
          <w:tcPr>
            <w:tcW w:w="1330" w:type="dxa"/>
            <w:tcBorders>
              <w:top w:val="single" w:sz="4" w:space="0" w:color="FFFFFF"/>
              <w:left w:val="single" w:sz="4" w:space="0" w:color="FFFFFF"/>
              <w:bottom w:val="single" w:sz="4" w:space="0" w:color="FFFFFF"/>
              <w:right w:val="single" w:sz="4" w:space="0" w:color="FFFFFF"/>
            </w:tcBorders>
            <w:shd w:val="clear" w:color="auto" w:fill="auto"/>
            <w:noWrap/>
            <w:vAlign w:val="center"/>
          </w:tcPr>
          <w:p>
            <w:pPr>
              <w:rPr>
                <w:rFonts w:ascii="方正黑体简体" w:eastAsia="方正黑体简体" w:cs="方正黑体简体" w:hAnsi="方正黑体简体"/>
                <w:i w:val="0"/>
                <w:iCs w:val="0"/>
                <w:color w:val="000000"/>
                <w:sz w:val="24"/>
                <w:szCs w:val="24"/>
                <w:u w:val="none"/>
              </w:rPr>
            </w:pPr>
            <w:r>
              <w:rPr>
                <w:rFonts w:ascii="方正黑体简体" w:eastAsia="方正黑体简体" w:cs="方正黑体简体" w:hAnsi="方正黑体简体"/>
                <w:i w:val="0"/>
                <w:iCs w:val="0"/>
                <w:color w:val="000000"/>
                <w:kern w:val="0"/>
                <w:sz w:val="24"/>
                <w:szCs w:val="24"/>
                <w:u w:val="none"/>
                <w:lang w:val="en-US" w:eastAsia="zh-CN"/>
              </w:rPr>
              <w:t>附表7</w:t>
            </w:r>
          </w:p>
        </w:tc>
        <w:tc>
          <w:tcPr>
            <w:tcW w:w="2630" w:type="dxa"/>
            <w:tcBorders>
              <w:top w:val="single" w:sz="4" w:space="0" w:color="FFFFFF"/>
              <w:left w:val="single" w:sz="4" w:space="0" w:color="FFFFFF"/>
              <w:bottom w:val="single" w:sz="4" w:space="0" w:color="FFFFFF"/>
              <w:right w:val="single" w:sz="4" w:space="0" w:color="FFFFFF"/>
            </w:tcBorders>
            <w:shd w:val="clear" w:color="auto" w:fill="auto"/>
            <w:vAlign w:val="center"/>
          </w:tcPr>
          <w:p>
            <w:pPr>
              <w:rPr>
                <w:rFonts w:ascii="宋体" w:eastAsia="宋体" w:cs="宋体" w:hAnsi="宋体" w:hint="eastAsia"/>
                <w:i w:val="0"/>
                <w:iCs w:val="0"/>
                <w:color w:val="000000"/>
                <w:sz w:val="18"/>
                <w:szCs w:val="18"/>
                <w:u w:val="none"/>
              </w:rPr>
            </w:pPr>
          </w:p>
        </w:tc>
        <w:tc>
          <w:tcPr>
            <w:tcW w:w="4426" w:type="dxa"/>
            <w:tcBorders>
              <w:top w:val="single" w:sz="4" w:space="0" w:color="FFFFFF"/>
              <w:left w:val="single" w:sz="4" w:space="0" w:color="FFFFFF"/>
              <w:bottom w:val="single" w:sz="4" w:space="0" w:color="FFFFFF"/>
              <w:right w:val="single" w:sz="4" w:space="0" w:color="FFFFFF"/>
            </w:tcBorders>
            <w:shd w:val="clear" w:color="auto" w:fill="auto"/>
            <w:vAlign w:val="center"/>
          </w:tcPr>
          <w:p>
            <w:pPr>
              <w:rPr>
                <w:rFonts w:ascii="宋体" w:eastAsia="宋体" w:cs="宋体" w:hAnsi="宋体" w:hint="eastAsia"/>
                <w:i w:val="0"/>
                <w:iCs w:val="0"/>
                <w:color w:val="000000"/>
                <w:sz w:val="18"/>
                <w:szCs w:val="18"/>
                <w:u w:val="none"/>
              </w:rPr>
            </w:pPr>
          </w:p>
        </w:tc>
        <w:tc>
          <w:tcPr>
            <w:tcW w:w="1877" w:type="dxa"/>
            <w:tcBorders>
              <w:top w:val="single" w:sz="4" w:space="0" w:color="FFFFFF"/>
              <w:left w:val="single" w:sz="4" w:space="0" w:color="FFFFFF"/>
              <w:bottom w:val="single" w:sz="4" w:space="0" w:color="FFFFFF"/>
              <w:right w:val="single" w:sz="4" w:space="0" w:color="FFFFFF"/>
            </w:tcBorders>
            <w:shd w:val="clear" w:color="auto" w:fill="auto"/>
            <w:noWrap/>
            <w:vAlign w:val="center"/>
          </w:tcPr>
          <w:p>
            <w:pPr>
              <w:rPr>
                <w:rFonts w:ascii="宋体" w:eastAsia="宋体" w:cs="宋体" w:hAnsi="宋体" w:hint="eastAsia"/>
                <w:i w:val="0"/>
                <w:iCs w:val="0"/>
                <w:color w:val="000000"/>
                <w:sz w:val="18"/>
                <w:szCs w:val="18"/>
                <w:u w:val="none"/>
              </w:rPr>
            </w:pPr>
          </w:p>
        </w:tc>
        <w:tc>
          <w:tcPr>
            <w:tcW w:w="1877" w:type="dxa"/>
            <w:tcBorders>
              <w:top w:val="single" w:sz="4" w:space="0" w:color="FFFFFF"/>
              <w:left w:val="single" w:sz="4" w:space="0" w:color="FFFFFF"/>
              <w:bottom w:val="single" w:sz="4" w:space="0" w:color="FFFFFF"/>
              <w:right w:val="single" w:sz="4" w:space="0" w:color="FFFFFF"/>
            </w:tcBorders>
            <w:shd w:val="clear" w:color="auto" w:fill="auto"/>
            <w:noWrap/>
            <w:vAlign w:val="center"/>
          </w:tcPr>
          <w:p>
            <w:pPr>
              <w:rPr>
                <w:rFonts w:ascii="宋体" w:eastAsia="宋体" w:cs="宋体" w:hAnsi="宋体" w:hint="eastAsia"/>
                <w:i w:val="0"/>
                <w:iCs w:val="0"/>
                <w:color w:val="000000"/>
                <w:sz w:val="18"/>
                <w:szCs w:val="18"/>
                <w:u w:val="none"/>
              </w:rPr>
            </w:pPr>
          </w:p>
        </w:tc>
        <w:tc>
          <w:tcPr>
            <w:tcW w:w="1877" w:type="dxa"/>
            <w:tcBorders>
              <w:top w:val="single" w:sz="4" w:space="0" w:color="FFFFFF"/>
              <w:left w:val="single" w:sz="4" w:space="0" w:color="FFFFFF"/>
              <w:bottom w:val="single" w:sz="4" w:space="0" w:color="FFFFFF"/>
              <w:right w:val="single" w:sz="4" w:space="0" w:color="FFFFFF"/>
            </w:tcBorders>
            <w:shd w:val="clear" w:color="auto" w:fill="auto"/>
            <w:vAlign w:val="center"/>
          </w:tcPr>
          <w:p>
            <w:pPr>
              <w:jc w:val="right"/>
              <w:rPr>
                <w:rFonts w:ascii="宋体" w:eastAsia="宋体" w:cs="宋体" w:hAnsi="宋体" w:hint="eastAsia"/>
                <w:i w:val="0"/>
                <w:iCs w:val="0"/>
                <w:color w:val="000000"/>
                <w:sz w:val="22"/>
                <w:szCs w:val="22"/>
                <w:u w:val="none"/>
              </w:rPr>
            </w:pPr>
          </w:p>
        </w:tc>
      </w:tr>
    </w:tbl>
    <w:p>
      <w:pPr>
        <w:rPr>
          <w:rFonts w:ascii="仿宋_GB2312" w:eastAsia="仿宋_GB2312" w:cs="仿宋_GB2312" w:hAnsi="仿宋_GB2312" w:hint="eastAsia"/>
          <w:sz w:val="32"/>
          <w:szCs w:val="32"/>
          <w:lang w:val="en-US" w:eastAsia="zh-CN"/>
        </w:rPr>
      </w:pPr>
      <w:r>
        <w:rPr>
          <w:rFonts w:ascii="仿宋_GB2312" w:eastAsia="仿宋_GB2312" w:cs="仿宋_GB2312" w:hAnsi="仿宋_GB2312" w:hint="eastAsia"/>
          <w:sz w:val="32"/>
          <w:szCs w:val="32"/>
          <w:lang w:val="en-US" w:eastAsia="zh-CN"/>
        </w:rPr>
        <w:drawing>
          <wp:inline distT="0" distB="0" distL="85723" distR="85723">
            <wp:extent cx="5196604" cy="5026844"/>
            <wp:effectExtent l="0" t="0" r="34" b="7"/>
            <wp:docPr id="19" name="图片"/>
            <wp:cNvGraphicFramePr>
              <a:graphicFrameLocks noChangeAspect="1"/>
            </wp:cNvGraphicFramePr>
            <a:graphic>
              <a:graphicData uri="http://schemas.openxmlformats.org/drawingml/2006/picture">
                <pic:pic>
                  <pic:nvPicPr>
                    <pic:cNvPr id="21" name="图片 21"/>
                    <pic:cNvPicPr/>
                  </pic:nvPicPr>
                  <pic:blipFill>
                    <a:blip r:embed="rId11"/>
                    <a:stretch>
                      <a:fillRect/>
                    </a:stretch>
                  </pic:blipFill>
                  <pic:spPr>
                    <a:xfrm rot="0">
                      <a:off x="0" y="0"/>
                      <a:ext cx="5196604" cy="5026844"/>
                    </a:xfrm>
                    <a:prstGeom prst="rect"/>
                    <a:noFill/>
                    <a:ln w="9525" cmpd="sng" cap="flat">
                      <a:noFill/>
                      <a:prstDash val="solid"/>
                      <a:miter/>
                    </a:ln>
                  </pic:spPr>
                </pic:pic>
              </a:graphicData>
            </a:graphic>
          </wp:inline>
        </w:drawing>
      </w:r>
      <w:r>
        <w:rPr>
          <w:rFonts w:ascii="仿宋_GB2312" w:eastAsia="仿宋_GB2312" w:cs="仿宋_GB2312" w:hAnsi="仿宋_GB2312" w:hint="eastAsia"/>
          <w:sz w:val="32"/>
          <w:szCs w:val="32"/>
          <w:lang w:val="en-US" w:eastAsia="zh-CN"/>
        </w:rPr>
        <w:br w:type="page"/>
      </w:r>
    </w:p>
    <w:tbl>
      <w:tblPr>
        <w:jc w:val="left"/>
        <w:tblInd w:w="96" w:type="dxa"/>
        <w:tblW w:w="13152" w:type="dxa"/>
        <w:tblBorders>
          <w:top w:val="none" w:sz="0" w:space="0" w:color="auto"/>
          <w:left w:val="none" w:sz="0" w:space="0" w:color="auto"/>
          <w:bottom w:val="none" w:sz="0" w:space="0" w:color="auto"/>
          <w:right w:val="none" w:sz="0" w:space="0" w:color="auto"/>
        </w:tblBorders>
        <w:shd w:val="clear" w:color="auto" w:fill="auto"/>
        <w:tblCellMar>
          <w:top w:w="0" w:type="dxa"/>
          <w:left w:w="108" w:type="dxa"/>
          <w:bottom w:w="0" w:type="dxa"/>
          <w:right w:w="108" w:type="dxa"/>
        </w:tblCellMar>
      </w:tblPr>
      <w:tblGrid>
        <w:gridCol w:w="1432"/>
        <w:gridCol w:w="716"/>
        <w:gridCol w:w="2876"/>
        <w:gridCol w:w="5252"/>
        <w:gridCol w:w="2876"/>
      </w:tblGrid>
      <w:tr>
        <w:trPr>
          <w:trHeight w:val="500"/>
        </w:trPr>
        <w:tc>
          <w:tcPr>
            <w:tcW w:w="1432" w:type="dxa"/>
            <w:tcBorders>
              <w:top w:val="single" w:sz="4" w:space="0" w:color="FFFFFF"/>
              <w:left w:val="single" w:sz="4" w:space="0" w:color="FFFFFF"/>
              <w:bottom w:val="single" w:sz="4" w:space="0" w:color="FFFFFF"/>
              <w:right w:val="single" w:sz="4" w:space="0" w:color="FFFFFF"/>
            </w:tcBorders>
            <w:shd w:val="clear" w:color="auto" w:fill="auto"/>
            <w:noWrap/>
            <w:vAlign w:val="center"/>
          </w:tcPr>
          <w:p>
            <w:pPr>
              <w:rPr>
                <w:rFonts w:ascii="方正黑体简体" w:eastAsia="方正黑体简体" w:cs="方正黑体简体" w:hAnsi="方正黑体简体"/>
                <w:i w:val="0"/>
                <w:iCs w:val="0"/>
                <w:color w:val="000000"/>
                <w:sz w:val="24"/>
                <w:szCs w:val="24"/>
                <w:u w:val="none"/>
              </w:rPr>
            </w:pPr>
            <w:r>
              <w:rPr>
                <w:rFonts w:ascii="方正黑体简体" w:eastAsia="方正黑体简体" w:cs="方正黑体简体" w:hAnsi="方正黑体简体"/>
                <w:i w:val="0"/>
                <w:iCs w:val="0"/>
                <w:color w:val="000000"/>
                <w:kern w:val="0"/>
                <w:sz w:val="24"/>
                <w:szCs w:val="24"/>
                <w:u w:val="none"/>
                <w:lang w:val="en-US" w:eastAsia="zh-CN"/>
              </w:rPr>
              <w:t>附表8</w:t>
            </w:r>
          </w:p>
        </w:tc>
        <w:tc>
          <w:tcPr>
            <w:tcW w:w="716" w:type="dxa"/>
            <w:tcBorders>
              <w:top w:val="single" w:sz="4" w:space="0" w:color="FFFFFF"/>
              <w:left w:val="single" w:sz="4" w:space="0" w:color="FFFFFF"/>
              <w:bottom w:val="single" w:sz="4" w:space="0" w:color="FFFFFF"/>
              <w:right w:val="single" w:sz="4" w:space="0" w:color="FFFFFF"/>
            </w:tcBorders>
            <w:shd w:val="clear" w:color="auto" w:fill="auto"/>
            <w:noWrap/>
            <w:vAlign w:val="center"/>
          </w:tcPr>
          <w:p>
            <w:pPr>
              <w:rPr>
                <w:rFonts w:ascii="方正黑体简体" w:eastAsia="方正黑体简体" w:cs="方正黑体简体" w:hAnsi="方正黑体简体"/>
                <w:i w:val="0"/>
                <w:iCs w:val="0"/>
                <w:color w:val="000000"/>
                <w:sz w:val="24"/>
                <w:szCs w:val="24"/>
                <w:u w:val="none"/>
              </w:rPr>
            </w:pPr>
          </w:p>
        </w:tc>
        <w:tc>
          <w:tcPr>
            <w:tcW w:w="2876" w:type="dxa"/>
            <w:tcBorders>
              <w:top w:val="nil"/>
              <w:left w:val="nil"/>
              <w:bottom w:val="nil"/>
              <w:right w:val="nil"/>
            </w:tcBorders>
            <w:shd w:val="clear" w:color="auto" w:fill="auto"/>
            <w:vAlign w:val="center"/>
          </w:tcPr>
          <w:p>
            <w:pPr>
              <w:rPr>
                <w:rFonts w:ascii="黑体" w:eastAsia="黑体" w:cs="黑体" w:hAnsi="黑体" w:hint="eastAsia"/>
                <w:i w:val="0"/>
                <w:iCs w:val="0"/>
                <w:color w:val="000000"/>
                <w:sz w:val="18"/>
                <w:szCs w:val="18"/>
                <w:u w:val="none"/>
              </w:rPr>
            </w:pPr>
          </w:p>
        </w:tc>
        <w:tc>
          <w:tcPr>
            <w:tcW w:w="5252" w:type="dxa"/>
            <w:tcBorders>
              <w:top w:val="nil"/>
              <w:left w:val="nil"/>
              <w:bottom w:val="nil"/>
              <w:right w:val="nil"/>
            </w:tcBorders>
            <w:shd w:val="clear" w:color="auto" w:fill="auto"/>
            <w:vAlign w:val="center"/>
          </w:tcPr>
          <w:p>
            <w:pPr>
              <w:rPr>
                <w:rFonts w:ascii="黑体" w:eastAsia="黑体" w:cs="黑体" w:hAnsi="黑体"/>
                <w:i w:val="0"/>
                <w:iCs w:val="0"/>
                <w:color w:val="000000"/>
                <w:sz w:val="18"/>
                <w:szCs w:val="18"/>
                <w:u w:val="none"/>
              </w:rPr>
            </w:pPr>
          </w:p>
        </w:tc>
        <w:tc>
          <w:tcPr>
            <w:tcW w:w="2876" w:type="dxa"/>
            <w:tcBorders>
              <w:top w:val="single" w:sz="4" w:space="0" w:color="FFFFFF"/>
              <w:left w:val="single" w:sz="4" w:space="0" w:color="FFFFFF"/>
              <w:bottom w:val="single" w:sz="4" w:space="0" w:color="FFFFFF"/>
              <w:right w:val="single" w:sz="4" w:space="0" w:color="FFFFFF"/>
            </w:tcBorders>
            <w:shd w:val="clear" w:color="auto" w:fill="auto"/>
            <w:vAlign w:val="center"/>
          </w:tcPr>
          <w:p>
            <w:pPr>
              <w:jc w:val="right"/>
              <w:rPr>
                <w:rFonts w:ascii="宋体" w:eastAsia="宋体" w:cs="宋体" w:hAnsi="宋体" w:hint="eastAsia"/>
                <w:i w:val="0"/>
                <w:iCs w:val="0"/>
                <w:color w:val="000000"/>
                <w:sz w:val="22"/>
                <w:szCs w:val="22"/>
                <w:u w:val="none"/>
              </w:rPr>
            </w:pPr>
          </w:p>
        </w:tc>
      </w:tr>
    </w:tbl>
    <w:p>
      <w:pPr>
        <w:keepNext w:val="0"/>
        <w:keepLines w:val="0"/>
        <w:pageBreakBefore w:val="0"/>
        <w:widowControl w:val="0"/>
        <w:suppressAutoHyphens/>
        <w:kinsoku/>
        <w:wordWrap/>
        <w:overflowPunct/>
        <w:topLinePunct w:val="0"/>
        <w:autoSpaceDE/>
        <w:autoSpaceDN/>
        <w:bidi w:val="0"/>
        <w:adjustRightInd/>
        <w:snapToGrid/>
        <w:spacing w:line="576" w:lineRule="exact"/>
        <w:textAlignment w:val="auto"/>
        <w:rPr>
          <w:rFonts w:ascii="仿宋_GB2312" w:eastAsia="仿宋_GB2312" w:cs="仿宋_GB2312" w:hAnsi="仿宋_GB2312" w:hint="eastAsia"/>
          <w:sz w:val="32"/>
          <w:szCs w:val="32"/>
          <w:lang w:val="en-US" w:eastAsia="zh-CN"/>
        </w:rPr>
      </w:pPr>
      <w:r>
        <w:rPr>
          <w:rFonts w:ascii="仿宋_GB2312" w:eastAsia="仿宋_GB2312" w:cs="仿宋_GB2312" w:hAnsi="仿宋_GB2312" w:hint="eastAsia"/>
          <w:sz w:val="32"/>
          <w:szCs w:val="32"/>
          <w:lang w:val="en-US" w:eastAsia="zh-CN"/>
        </w:rPr>
        <w:drawing>
          <wp:anchor distT="0" distB="0" distL="85723" distR="85723" simplePos="0" relativeHeight="43" behindDoc="0" locked="0" layoutInCell="1" hidden="0" allowOverlap="1">
            <wp:simplePos x="0" y="0"/>
            <wp:positionH relativeFrom="column">
              <wp:posOffset>323845</wp:posOffset>
            </wp:positionH>
            <wp:positionV relativeFrom="paragraph">
              <wp:posOffset>156213</wp:posOffset>
            </wp:positionV>
            <wp:extent cx="6810270" cy="4476682"/>
            <wp:effectExtent l="0" t="0" r="1" b="0"/>
            <wp:wrapSquare wrapText="bothSides"/>
            <wp:docPr id="22" name="图片"/>
            <wp:cNvGraphicFramePr>
              <a:graphicFrameLocks noChangeAspect="1"/>
            </wp:cNvGraphicFramePr>
            <a:graphic>
              <a:graphicData uri="http://schemas.openxmlformats.org/drawingml/2006/picture">
                <pic:pic>
                  <pic:nvPicPr>
                    <pic:cNvPr id="24" name="图片 24"/>
                    <pic:cNvPicPr/>
                  </pic:nvPicPr>
                  <pic:blipFill>
                    <a:blip r:embed="rId12"/>
                    <a:stretch>
                      <a:fillRect/>
                    </a:stretch>
                  </pic:blipFill>
                  <pic:spPr>
                    <a:xfrm rot="0">
                      <a:off x="0" y="0"/>
                      <a:ext cx="6810270" cy="4476682"/>
                    </a:xfrm>
                    <a:prstGeom prst="rect"/>
                    <a:noFill/>
                    <a:ln w="9525" cmpd="sng" cap="flat">
                      <a:noFill/>
                      <a:prstDash val="solid"/>
                      <a:miter/>
                    </a:ln>
                  </pic:spPr>
                </pic:pic>
              </a:graphicData>
            </a:graphic>
          </wp:anchor>
        </w:drawing>
      </w:r>
    </w:p>
    <w:tbl>
      <w:tblPr>
        <w:jc w:val="left"/>
        <w:tblInd w:w="96" w:type="dxa"/>
        <w:tblW w:w="13957" w:type="dxa"/>
        <w:tblBorders>
          <w:top w:val="none" w:sz="0" w:space="0" w:color="auto"/>
          <w:left w:val="none" w:sz="0" w:space="0" w:color="auto"/>
          <w:bottom w:val="none" w:sz="0" w:space="0" w:color="auto"/>
          <w:right w:val="none" w:sz="0" w:space="0" w:color="auto"/>
        </w:tblBorders>
        <w:shd w:val="clear" w:color="auto" w:fill="auto"/>
        <w:tblCellMar>
          <w:top w:w="0" w:type="dxa"/>
          <w:left w:w="108" w:type="dxa"/>
          <w:bottom w:w="0" w:type="dxa"/>
          <w:right w:w="108" w:type="dxa"/>
        </w:tblCellMar>
      </w:tblPr>
      <w:tblGrid>
        <w:gridCol w:w="1283"/>
        <w:gridCol w:w="2964"/>
        <w:gridCol w:w="1466"/>
        <w:gridCol w:w="1496"/>
        <w:gridCol w:w="1466"/>
        <w:gridCol w:w="1763"/>
        <w:gridCol w:w="1763"/>
        <w:gridCol w:w="1756"/>
      </w:tblGrid>
      <w:tr>
        <w:trPr>
          <w:trHeight w:val="500"/>
        </w:trPr>
        <w:tc>
          <w:tcPr>
            <w:tcW w:w="1283" w:type="dxa"/>
            <w:tcBorders>
              <w:top w:val="single" w:sz="4" w:space="0" w:color="FFFFFF"/>
              <w:left w:val="single" w:sz="4" w:space="0" w:color="FFFFFF"/>
              <w:bottom w:val="single" w:sz="4" w:space="0" w:color="FFFFFF"/>
              <w:right w:val="single" w:sz="4" w:space="0" w:color="FFFFFF"/>
            </w:tcBorders>
            <w:shd w:val="clear" w:color="auto" w:fill="auto"/>
            <w:noWrap/>
            <w:vAlign w:val="center"/>
          </w:tcPr>
          <w:p>
            <w:pPr>
              <w:keepNext w:val="0"/>
              <w:keepLines w:val="0"/>
              <w:widowControl/>
              <w:suppressLineNumbers w:val="0"/>
              <w:suppressAutoHyphens/>
              <w:jc w:val="left"/>
              <w:textAlignment w:val="center"/>
              <w:rPr>
                <w:rFonts w:ascii="方正黑体简体" w:eastAsia="方正黑体简体" w:cs="方正黑体简体" w:hAnsi="方正黑体简体"/>
                <w:i w:val="0"/>
                <w:iCs w:val="0"/>
                <w:color w:val="000000"/>
                <w:kern w:val="0"/>
                <w:sz w:val="24"/>
                <w:szCs w:val="24"/>
                <w:u w:val="none"/>
                <w:lang w:val="en-US" w:eastAsia="zh-CN"/>
              </w:rPr>
            </w:pPr>
          </w:p>
          <w:p>
            <w:pPr>
              <w:keepNext w:val="0"/>
              <w:keepLines w:val="0"/>
              <w:widowControl/>
              <w:suppressLineNumbers w:val="0"/>
              <w:suppressAutoHyphens/>
              <w:jc w:val="left"/>
              <w:textAlignment w:val="center"/>
              <w:rPr>
                <w:rFonts w:ascii="方正黑体简体" w:eastAsia="方正黑体简体" w:cs="方正黑体简体" w:hAnsi="方正黑体简体"/>
                <w:i w:val="0"/>
                <w:iCs w:val="0"/>
                <w:color w:val="000000"/>
                <w:kern w:val="0"/>
                <w:sz w:val="24"/>
                <w:szCs w:val="24"/>
                <w:u w:val="none"/>
                <w:lang w:val="en-US" w:eastAsia="zh-CN"/>
              </w:rPr>
            </w:pPr>
          </w:p>
          <w:p>
            <w:pPr>
              <w:keepNext w:val="0"/>
              <w:keepLines w:val="0"/>
              <w:widowControl/>
              <w:suppressLineNumbers w:val="0"/>
              <w:suppressAutoHyphens/>
              <w:jc w:val="left"/>
              <w:textAlignment w:val="center"/>
              <w:rPr>
                <w:rFonts w:ascii="方正黑体简体" w:eastAsia="方正黑体简体" w:cs="方正黑体简体" w:hAnsi="方正黑体简体"/>
                <w:i w:val="0"/>
                <w:iCs w:val="0"/>
                <w:color w:val="000000"/>
                <w:sz w:val="24"/>
                <w:szCs w:val="24"/>
                <w:u w:val="none"/>
              </w:rPr>
            </w:pPr>
            <w:r>
              <w:rPr>
                <w:rFonts w:ascii="方正黑体简体" w:eastAsia="方正黑体简体" w:cs="方正黑体简体" w:hAnsi="方正黑体简体"/>
                <w:i w:val="0"/>
                <w:iCs w:val="0"/>
                <w:color w:val="000000"/>
                <w:kern w:val="0"/>
                <w:sz w:val="24"/>
                <w:szCs w:val="24"/>
                <w:u w:val="none"/>
                <w:lang w:val="en-US" w:eastAsia="zh-CN"/>
              </w:rPr>
              <w:t>附表9</w:t>
            </w:r>
          </w:p>
        </w:tc>
        <w:tc>
          <w:tcPr>
            <w:tcW w:w="2964" w:type="dxa"/>
            <w:tcBorders>
              <w:top w:val="nil"/>
              <w:left w:val="nil"/>
              <w:bottom w:val="nil"/>
              <w:right w:val="nil"/>
            </w:tcBorders>
            <w:shd w:val="clear" w:color="auto" w:fill="auto"/>
            <w:vAlign w:val="center"/>
          </w:tcPr>
          <w:p>
            <w:pPr>
              <w:rPr>
                <w:rFonts w:ascii="黑体" w:eastAsia="黑体" w:cs="黑体" w:hAnsi="黑体" w:hint="eastAsia"/>
                <w:i w:val="0"/>
                <w:iCs w:val="0"/>
                <w:color w:val="000000"/>
                <w:sz w:val="18"/>
                <w:szCs w:val="18"/>
                <w:u w:val="none"/>
              </w:rPr>
            </w:pPr>
          </w:p>
        </w:tc>
        <w:tc>
          <w:tcPr>
            <w:tcW w:w="1466" w:type="dxa"/>
            <w:tcBorders>
              <w:top w:val="single" w:sz="4" w:space="0" w:color="FFFFFF"/>
              <w:left w:val="single" w:sz="4" w:space="0" w:color="FFFFFF"/>
              <w:bottom w:val="single" w:sz="4" w:space="0" w:color="FFFFFF"/>
              <w:right w:val="single" w:sz="4" w:space="0" w:color="FFFFFF"/>
            </w:tcBorders>
            <w:shd w:val="clear" w:color="auto" w:fill="auto"/>
            <w:vAlign w:val="center"/>
          </w:tcPr>
          <w:p>
            <w:pPr>
              <w:rPr>
                <w:rFonts w:ascii="宋体" w:eastAsia="宋体" w:cs="宋体" w:hAnsi="宋体" w:hint="eastAsia"/>
                <w:i w:val="0"/>
                <w:iCs w:val="0"/>
                <w:color w:val="000000"/>
                <w:sz w:val="18"/>
                <w:szCs w:val="18"/>
                <w:u w:val="none"/>
              </w:rPr>
            </w:pPr>
          </w:p>
        </w:tc>
        <w:tc>
          <w:tcPr>
            <w:tcW w:w="1496" w:type="dxa"/>
            <w:tcBorders>
              <w:top w:val="single" w:sz="4" w:space="0" w:color="FFFFFF"/>
              <w:left w:val="single" w:sz="4" w:space="0" w:color="FFFFFF"/>
              <w:bottom w:val="single" w:sz="4" w:space="0" w:color="FFFFFF"/>
              <w:right w:val="single" w:sz="4" w:space="0" w:color="FFFFFF"/>
            </w:tcBorders>
            <w:shd w:val="clear" w:color="auto" w:fill="auto"/>
            <w:vAlign w:val="center"/>
          </w:tcPr>
          <w:p>
            <w:pPr>
              <w:rPr>
                <w:rFonts w:ascii="宋体" w:eastAsia="宋体" w:cs="宋体" w:hAnsi="宋体" w:hint="eastAsia"/>
                <w:i w:val="0"/>
                <w:iCs w:val="0"/>
                <w:color w:val="000000"/>
                <w:sz w:val="18"/>
                <w:szCs w:val="18"/>
                <w:u w:val="none"/>
              </w:rPr>
            </w:pPr>
          </w:p>
        </w:tc>
        <w:tc>
          <w:tcPr>
            <w:tcW w:w="1466" w:type="dxa"/>
            <w:tcBorders>
              <w:top w:val="single" w:sz="4" w:space="0" w:color="FFFFFF"/>
              <w:left w:val="single" w:sz="4" w:space="0" w:color="FFFFFF"/>
              <w:bottom w:val="single" w:sz="4" w:space="0" w:color="FFFFFF"/>
              <w:right w:val="single" w:sz="4" w:space="0" w:color="FFFFFF"/>
            </w:tcBorders>
            <w:shd w:val="clear" w:color="auto" w:fill="auto"/>
            <w:vAlign w:val="center"/>
          </w:tcPr>
          <w:p>
            <w:pPr>
              <w:rPr>
                <w:rFonts w:ascii="宋体" w:eastAsia="宋体" w:cs="宋体" w:hAnsi="宋体" w:hint="eastAsia"/>
                <w:i w:val="0"/>
                <w:iCs w:val="0"/>
                <w:color w:val="000000"/>
                <w:sz w:val="18"/>
                <w:szCs w:val="18"/>
                <w:u w:val="none"/>
              </w:rPr>
            </w:pPr>
          </w:p>
        </w:tc>
        <w:tc>
          <w:tcPr>
            <w:tcW w:w="1763" w:type="dxa"/>
            <w:tcBorders>
              <w:top w:val="single" w:sz="4" w:space="0" w:color="FFFFFF"/>
              <w:left w:val="single" w:sz="4" w:space="0" w:color="FFFFFF"/>
              <w:bottom w:val="single" w:sz="4" w:space="0" w:color="FFFFFF"/>
              <w:right w:val="single" w:sz="4" w:space="0" w:color="FFFFFF"/>
            </w:tcBorders>
            <w:shd w:val="clear" w:color="auto" w:fill="auto"/>
            <w:vAlign w:val="center"/>
          </w:tcPr>
          <w:p>
            <w:pPr>
              <w:rPr>
                <w:rFonts w:ascii="宋体" w:eastAsia="宋体" w:cs="宋体" w:hAnsi="宋体" w:hint="eastAsia"/>
                <w:i w:val="0"/>
                <w:iCs w:val="0"/>
                <w:color w:val="000000"/>
                <w:sz w:val="18"/>
                <w:szCs w:val="18"/>
                <w:u w:val="none"/>
              </w:rPr>
            </w:pPr>
          </w:p>
        </w:tc>
        <w:tc>
          <w:tcPr>
            <w:tcW w:w="1763" w:type="dxa"/>
            <w:tcBorders>
              <w:top w:val="single" w:sz="4" w:space="0" w:color="FFFFFF"/>
              <w:left w:val="single" w:sz="4" w:space="0" w:color="FFFFFF"/>
              <w:bottom w:val="single" w:sz="4" w:space="0" w:color="FFFFFF"/>
              <w:right w:val="single" w:sz="4" w:space="0" w:color="FFFFFF"/>
            </w:tcBorders>
            <w:shd w:val="clear" w:color="auto" w:fill="auto"/>
            <w:vAlign w:val="center"/>
          </w:tcPr>
          <w:p>
            <w:pPr>
              <w:rPr>
                <w:rFonts w:ascii="宋体" w:eastAsia="宋体" w:cs="宋体" w:hAnsi="宋体" w:hint="eastAsia"/>
                <w:i w:val="0"/>
                <w:iCs w:val="0"/>
                <w:color w:val="000000"/>
                <w:sz w:val="18"/>
                <w:szCs w:val="18"/>
                <w:u w:val="none"/>
              </w:rPr>
            </w:pPr>
          </w:p>
        </w:tc>
        <w:tc>
          <w:tcPr>
            <w:tcW w:w="1756" w:type="dxa"/>
            <w:tcBorders>
              <w:top w:val="single" w:sz="4" w:space="0" w:color="FFFFFF"/>
              <w:left w:val="single" w:sz="4" w:space="0" w:color="FFFFFF"/>
              <w:bottom w:val="single" w:sz="4" w:space="0" w:color="FFFFFF"/>
              <w:right w:val="single" w:sz="4" w:space="0" w:color="FFFFFF"/>
            </w:tcBorders>
            <w:shd w:val="clear" w:color="auto" w:fill="auto"/>
            <w:vAlign w:val="center"/>
          </w:tcPr>
          <w:p>
            <w:pPr>
              <w:jc w:val="right"/>
              <w:rPr>
                <w:rFonts w:ascii="宋体" w:eastAsia="宋体" w:cs="宋体" w:hAnsi="宋体" w:hint="eastAsia"/>
                <w:i w:val="0"/>
                <w:iCs w:val="0"/>
                <w:color w:val="000000"/>
                <w:sz w:val="22"/>
                <w:szCs w:val="22"/>
                <w:u w:val="none"/>
              </w:rPr>
            </w:pPr>
          </w:p>
        </w:tc>
      </w:tr>
    </w:tbl>
    <w:p>
      <w:pPr>
        <w:keepNext w:val="0"/>
        <w:keepLines w:val="0"/>
        <w:pageBreakBefore w:val="0"/>
        <w:widowControl w:val="0"/>
        <w:suppressAutoHyphens/>
        <w:kinsoku/>
        <w:wordWrap/>
        <w:overflowPunct/>
        <w:topLinePunct w:val="0"/>
        <w:autoSpaceDE/>
        <w:autoSpaceDN/>
        <w:bidi w:val="0"/>
        <w:adjustRightInd/>
        <w:snapToGrid/>
        <w:spacing w:line="576" w:lineRule="exact"/>
        <w:textAlignment w:val="auto"/>
        <w:rPr>
          <w:rFonts w:ascii="仿宋_GB2312" w:eastAsia="仿宋_GB2312" w:cs="仿宋_GB2312" w:hAnsi="仿宋_GB2312" w:hint="eastAsia"/>
          <w:sz w:val="32"/>
          <w:szCs w:val="32"/>
          <w:lang w:val="en-US" w:eastAsia="zh-CN"/>
        </w:rPr>
      </w:pPr>
      <w:r>
        <w:rPr>
          <w:rFonts w:ascii="仿宋_GB2312" w:eastAsia="仿宋_GB2312" w:cs="仿宋_GB2312" w:hAnsi="仿宋_GB2312" w:hint="eastAsia"/>
          <w:sz w:val="32"/>
          <w:szCs w:val="32"/>
          <w:lang w:val="en-US" w:eastAsia="zh-CN"/>
        </w:rPr>
        <w:drawing>
          <wp:anchor distT="0" distB="0" distL="85723" distR="85723" simplePos="0" relativeHeight="45" behindDoc="0" locked="0" layoutInCell="1" hidden="0" allowOverlap="1">
            <wp:simplePos x="0" y="0"/>
            <wp:positionH relativeFrom="column">
              <wp:posOffset>47624</wp:posOffset>
            </wp:positionH>
            <wp:positionV relativeFrom="paragraph">
              <wp:posOffset>133217</wp:posOffset>
            </wp:positionV>
            <wp:extent cx="8100060" cy="1404098"/>
            <wp:effectExtent l="0" t="0" r="29" b="40"/>
            <wp:wrapSquare wrapText="bothSides"/>
            <wp:docPr id="25" name="图片"/>
            <wp:cNvGraphicFramePr>
              <a:graphicFrameLocks noChangeAspect="1"/>
            </wp:cNvGraphicFramePr>
            <a:graphic>
              <a:graphicData uri="http://schemas.openxmlformats.org/drawingml/2006/picture">
                <pic:pic>
                  <pic:nvPicPr>
                    <pic:cNvPr id="27" name="图片 27"/>
                    <pic:cNvPicPr/>
                  </pic:nvPicPr>
                  <pic:blipFill>
                    <a:blip r:embed="rId13"/>
                    <a:stretch>
                      <a:fillRect/>
                    </a:stretch>
                  </pic:blipFill>
                  <pic:spPr>
                    <a:xfrm rot="0">
                      <a:off x="0" y="0"/>
                      <a:ext cx="8100060" cy="1404098"/>
                    </a:xfrm>
                    <a:prstGeom prst="rect"/>
                    <a:noFill/>
                    <a:ln w="9525" cmpd="sng" cap="flat">
                      <a:noFill/>
                      <a:prstDash val="solid"/>
                      <a:miter/>
                    </a:ln>
                  </pic:spPr>
                </pic:pic>
              </a:graphicData>
            </a:graphic>
          </wp:anchor>
        </w:drawing>
      </w:r>
    </w:p>
    <w:tbl>
      <w:tblPr>
        <w:jc w:val="left"/>
        <w:tblInd w:w="91" w:type="dxa"/>
        <w:tblW w:w="13722" w:type="dxa"/>
        <w:tblBorders>
          <w:top w:val="none" w:sz="0" w:space="0" w:color="auto"/>
          <w:left w:val="none" w:sz="0" w:space="0" w:color="auto"/>
          <w:bottom w:val="none" w:sz="0" w:space="0" w:color="auto"/>
          <w:right w:val="none" w:sz="0" w:space="0" w:color="auto"/>
        </w:tblBorders>
        <w:shd w:val="clear" w:color="auto" w:fill="auto"/>
        <w:tblCellMar>
          <w:top w:w="0" w:type="dxa"/>
          <w:left w:w="108" w:type="dxa"/>
          <w:bottom w:w="0" w:type="dxa"/>
          <w:right w:w="108" w:type="dxa"/>
        </w:tblCellMar>
      </w:tblPr>
      <w:tblGrid>
        <w:gridCol w:w="1335"/>
        <w:gridCol w:w="665"/>
        <w:gridCol w:w="1834"/>
        <w:gridCol w:w="4383"/>
        <w:gridCol w:w="1834"/>
        <w:gridCol w:w="1835"/>
        <w:gridCol w:w="1836"/>
      </w:tblGrid>
      <w:tr>
        <w:trPr>
          <w:trHeight w:val="500"/>
        </w:trPr>
        <w:tc>
          <w:tcPr>
            <w:tcW w:w="1335" w:type="dxa"/>
            <w:tcBorders>
              <w:top w:val="single" w:sz="4" w:space="0" w:color="FFFFFF"/>
              <w:left w:val="single" w:sz="4" w:space="0" w:color="FFFFFF"/>
              <w:bottom w:val="single" w:sz="4" w:space="0" w:color="FFFFFF"/>
              <w:right w:val="single" w:sz="4" w:space="0" w:color="FFFFFF"/>
            </w:tcBorders>
            <w:shd w:val="clear" w:color="auto" w:fill="auto"/>
            <w:noWrap/>
            <w:vAlign w:val="center"/>
          </w:tcPr>
          <w:p>
            <w:pPr>
              <w:rPr>
                <w:rFonts w:ascii="方正黑体简体" w:eastAsia="方正黑体简体" w:cs="方正黑体简体" w:hAnsi="方正黑体简体"/>
                <w:i w:val="0"/>
                <w:iCs w:val="0"/>
                <w:color w:val="000000"/>
                <w:sz w:val="24"/>
                <w:szCs w:val="24"/>
                <w:u w:val="none"/>
              </w:rPr>
            </w:pPr>
            <w:r>
              <w:rPr>
                <w:rFonts w:ascii="方正黑体简体" w:eastAsia="方正黑体简体" w:cs="方正黑体简体" w:hAnsi="方正黑体简体"/>
                <w:i w:val="0"/>
                <w:iCs w:val="0"/>
                <w:color w:val="000000"/>
                <w:kern w:val="0"/>
                <w:sz w:val="24"/>
                <w:szCs w:val="24"/>
                <w:u w:val="none"/>
                <w:lang w:val="en-US" w:eastAsia="zh-CN"/>
              </w:rPr>
              <w:t>附表10</w:t>
            </w:r>
          </w:p>
        </w:tc>
        <w:tc>
          <w:tcPr>
            <w:tcW w:w="665" w:type="dxa"/>
            <w:tcBorders>
              <w:top w:val="single" w:sz="4" w:space="0" w:color="FFFFFF"/>
              <w:left w:val="single" w:sz="4" w:space="0" w:color="FFFFFF"/>
              <w:bottom w:val="single" w:sz="4" w:space="0" w:color="FFFFFF"/>
              <w:right w:val="single" w:sz="4" w:space="0" w:color="FFFFFF"/>
            </w:tcBorders>
            <w:shd w:val="clear" w:color="auto" w:fill="auto"/>
            <w:noWrap/>
            <w:vAlign w:val="center"/>
          </w:tcPr>
          <w:p>
            <w:pPr>
              <w:rPr>
                <w:rFonts w:ascii="方正黑体简体" w:eastAsia="方正黑体简体" w:cs="方正黑体简体" w:hAnsi="方正黑体简体"/>
                <w:i w:val="0"/>
                <w:iCs w:val="0"/>
                <w:color w:val="000000"/>
                <w:sz w:val="24"/>
                <w:szCs w:val="24"/>
                <w:u w:val="none"/>
              </w:rPr>
            </w:pPr>
          </w:p>
        </w:tc>
        <w:tc>
          <w:tcPr>
            <w:tcW w:w="1834" w:type="dxa"/>
            <w:tcBorders>
              <w:top w:val="nil"/>
              <w:left w:val="nil"/>
              <w:bottom w:val="nil"/>
              <w:right w:val="nil"/>
            </w:tcBorders>
            <w:shd w:val="clear" w:color="auto" w:fill="auto"/>
            <w:vAlign w:val="center"/>
          </w:tcPr>
          <w:p>
            <w:pPr>
              <w:rPr>
                <w:rFonts w:ascii="黑体" w:eastAsia="黑体" w:cs="黑体" w:hAnsi="黑体" w:hint="eastAsia"/>
                <w:i w:val="0"/>
                <w:iCs w:val="0"/>
                <w:color w:val="000000"/>
                <w:sz w:val="18"/>
                <w:szCs w:val="18"/>
                <w:u w:val="none"/>
              </w:rPr>
            </w:pPr>
          </w:p>
        </w:tc>
        <w:tc>
          <w:tcPr>
            <w:tcW w:w="4383" w:type="dxa"/>
            <w:tcBorders>
              <w:top w:val="nil"/>
              <w:left w:val="nil"/>
              <w:bottom w:val="nil"/>
              <w:right w:val="nil"/>
            </w:tcBorders>
            <w:shd w:val="clear" w:color="auto" w:fill="auto"/>
            <w:vAlign w:val="center"/>
          </w:tcPr>
          <w:p>
            <w:pPr>
              <w:rPr>
                <w:rFonts w:ascii="黑体" w:eastAsia="黑体" w:cs="黑体" w:hAnsi="黑体"/>
                <w:i w:val="0"/>
                <w:iCs w:val="0"/>
                <w:color w:val="000000"/>
                <w:sz w:val="18"/>
                <w:szCs w:val="18"/>
                <w:u w:val="none"/>
              </w:rPr>
            </w:pPr>
          </w:p>
        </w:tc>
        <w:tc>
          <w:tcPr>
            <w:tcW w:w="1834" w:type="dxa"/>
            <w:tcBorders>
              <w:top w:val="single" w:sz="4" w:space="0" w:color="FFFFFF"/>
              <w:left w:val="single" w:sz="4" w:space="0" w:color="FFFFFF"/>
              <w:bottom w:val="single" w:sz="4" w:space="0" w:color="FFFFFF"/>
              <w:right w:val="single" w:sz="4" w:space="0" w:color="FFFFFF"/>
            </w:tcBorders>
            <w:shd w:val="clear" w:color="auto" w:fill="auto"/>
            <w:vAlign w:val="center"/>
          </w:tcPr>
          <w:p>
            <w:pPr>
              <w:rPr>
                <w:rFonts w:ascii="宋体" w:eastAsia="宋体" w:cs="宋体" w:hAnsi="宋体" w:hint="eastAsia"/>
                <w:i w:val="0"/>
                <w:iCs w:val="0"/>
                <w:color w:val="000000"/>
                <w:sz w:val="18"/>
                <w:szCs w:val="18"/>
                <w:u w:val="none"/>
              </w:rPr>
            </w:pPr>
          </w:p>
        </w:tc>
        <w:tc>
          <w:tcPr>
            <w:tcW w:w="1835" w:type="dxa"/>
            <w:tcBorders>
              <w:top w:val="single" w:sz="4" w:space="0" w:color="FFFFFF"/>
              <w:left w:val="single" w:sz="4" w:space="0" w:color="FFFFFF"/>
              <w:bottom w:val="single" w:sz="4" w:space="0" w:color="FFFFFF"/>
              <w:right w:val="single" w:sz="4" w:space="0" w:color="FFFFFF"/>
            </w:tcBorders>
            <w:shd w:val="clear" w:color="auto" w:fill="auto"/>
            <w:vAlign w:val="center"/>
          </w:tcPr>
          <w:p>
            <w:pPr>
              <w:rPr>
                <w:rFonts w:ascii="宋体" w:eastAsia="宋体" w:cs="宋体" w:hAnsi="宋体" w:hint="eastAsia"/>
                <w:i w:val="0"/>
                <w:iCs w:val="0"/>
                <w:color w:val="000000"/>
                <w:sz w:val="18"/>
                <w:szCs w:val="18"/>
                <w:u w:val="none"/>
              </w:rPr>
            </w:pPr>
          </w:p>
        </w:tc>
        <w:tc>
          <w:tcPr>
            <w:tcW w:w="1836" w:type="dxa"/>
            <w:tcBorders>
              <w:top w:val="single" w:sz="4" w:space="0" w:color="FFFFFF"/>
              <w:left w:val="single" w:sz="4" w:space="0" w:color="FFFFFF"/>
              <w:bottom w:val="single" w:sz="4" w:space="0" w:color="FFFFFF"/>
              <w:right w:val="single" w:sz="4" w:space="0" w:color="FFFFFF"/>
            </w:tcBorders>
            <w:shd w:val="clear" w:color="auto" w:fill="auto"/>
            <w:vAlign w:val="center"/>
          </w:tcPr>
          <w:p>
            <w:pPr>
              <w:jc w:val="right"/>
              <w:rPr>
                <w:rFonts w:ascii="宋体" w:eastAsia="宋体" w:cs="宋体" w:hAnsi="宋体" w:hint="eastAsia"/>
                <w:i w:val="0"/>
                <w:iCs w:val="0"/>
                <w:color w:val="000000"/>
                <w:sz w:val="22"/>
                <w:szCs w:val="22"/>
                <w:u w:val="none"/>
              </w:rPr>
            </w:pPr>
          </w:p>
        </w:tc>
      </w:tr>
    </w:tbl>
    <w:p>
      <w:pPr>
        <w:rPr>
          <w:rFonts w:ascii="方正黑体简体" w:eastAsia="方正黑体简体" w:cs="方正黑体简体" w:hAnsi="方正黑体简体"/>
          <w:i w:val="0"/>
          <w:iCs w:val="0"/>
          <w:color w:val="000000"/>
          <w:kern w:val="0"/>
          <w:sz w:val="24"/>
          <w:szCs w:val="24"/>
          <w:u w:val="none"/>
          <w:lang w:val="en-US" w:eastAsia="zh-CN"/>
        </w:rPr>
      </w:pPr>
      <w:r>
        <w:rPr>
          <w:rFonts w:ascii="方正黑体简体" w:eastAsia="方正黑体简体" w:cs="方正黑体简体" w:hAnsi="方正黑体简体"/>
          <w:i w:val="0"/>
          <w:iCs w:val="0"/>
          <w:color w:val="000000"/>
          <w:kern w:val="0"/>
          <w:sz w:val="24"/>
          <w:szCs w:val="24"/>
          <w:u w:val="none"/>
          <w:lang w:val="en-US" w:eastAsia="zh-CN"/>
        </w:rPr>
        <w:drawing>
          <wp:inline distT="0" distB="0" distL="85723" distR="85723">
            <wp:extent cx="8100060" cy="2205338"/>
            <wp:effectExtent l="0" t="0" r="28" b="47"/>
            <wp:docPr id="28" name="图片"/>
            <wp:cNvGraphicFramePr>
              <a:graphicFrameLocks noChangeAspect="1"/>
            </wp:cNvGraphicFramePr>
            <a:graphic>
              <a:graphicData uri="http://schemas.openxmlformats.org/drawingml/2006/picture">
                <pic:pic>
                  <pic:nvPicPr>
                    <pic:cNvPr id="30" name="图片 30"/>
                    <pic:cNvPicPr/>
                  </pic:nvPicPr>
                  <pic:blipFill>
                    <a:blip r:embed="rId14"/>
                    <a:stretch>
                      <a:fillRect/>
                    </a:stretch>
                  </pic:blipFill>
                  <pic:spPr>
                    <a:xfrm rot="0">
                      <a:off x="0" y="0"/>
                      <a:ext cx="8100060" cy="2205338"/>
                    </a:xfrm>
                    <a:prstGeom prst="rect"/>
                    <a:noFill/>
                    <a:ln w="9525" cmpd="sng" cap="flat">
                      <a:noFill/>
                      <a:prstDash val="solid"/>
                      <a:miter/>
                    </a:ln>
                  </pic:spPr>
                </pic:pic>
              </a:graphicData>
            </a:graphic>
          </wp:inline>
        </w:drawing>
      </w:r>
      <w:r>
        <w:rPr>
          <w:rFonts w:ascii="方正黑体简体" w:eastAsia="方正黑体简体" w:cs="方正黑体简体" w:hAnsi="方正黑体简体"/>
          <w:i w:val="0"/>
          <w:iCs w:val="0"/>
          <w:color w:val="000000"/>
          <w:kern w:val="0"/>
          <w:sz w:val="24"/>
          <w:szCs w:val="24"/>
          <w:u w:val="none"/>
          <w:lang w:val="en-US" w:eastAsia="zh-CN"/>
        </w:rPr>
        <w:br w:type="page"/>
      </w:r>
    </w:p>
    <w:tbl>
      <w:tblPr>
        <w:jc w:val="left"/>
        <w:tblInd w:w="96" w:type="dxa"/>
        <w:tblW w:w="13933" w:type="dxa"/>
        <w:tblBorders>
          <w:top w:val="none" w:sz="0" w:space="0" w:color="auto"/>
          <w:left w:val="none" w:sz="0" w:space="0" w:color="auto"/>
          <w:bottom w:val="none" w:sz="0" w:space="0" w:color="auto"/>
          <w:right w:val="none" w:sz="0" w:space="0" w:color="auto"/>
        </w:tblBorders>
        <w:shd w:val="clear" w:color="auto" w:fill="auto"/>
        <w:tblCellMar>
          <w:top w:w="0" w:type="dxa"/>
          <w:left w:w="108" w:type="dxa"/>
          <w:bottom w:w="0" w:type="dxa"/>
          <w:right w:w="108" w:type="dxa"/>
        </w:tblCellMar>
      </w:tblPr>
      <w:tblGrid>
        <w:gridCol w:w="1323"/>
        <w:gridCol w:w="3021"/>
        <w:gridCol w:w="1424"/>
        <w:gridCol w:w="1459"/>
        <w:gridCol w:w="1424"/>
        <w:gridCol w:w="1763"/>
        <w:gridCol w:w="1763"/>
        <w:gridCol w:w="1756"/>
      </w:tblGrid>
      <w:tr>
        <w:trPr>
          <w:trHeight w:val="500"/>
        </w:trPr>
        <w:tc>
          <w:tcPr>
            <w:tcW w:w="1323" w:type="dxa"/>
            <w:tcBorders>
              <w:top w:val="single" w:sz="4" w:space="0" w:color="FFFFFF"/>
              <w:left w:val="single" w:sz="4" w:space="0" w:color="FFFFFF"/>
              <w:bottom w:val="single" w:sz="4" w:space="0" w:color="FFFFFF"/>
              <w:right w:val="single" w:sz="4" w:space="0" w:color="FFFFFF"/>
            </w:tcBorders>
            <w:shd w:val="clear" w:color="auto" w:fill="auto"/>
            <w:noWrap/>
            <w:vAlign w:val="center"/>
          </w:tcPr>
          <w:p>
            <w:pPr>
              <w:keepNext w:val="0"/>
              <w:keepLines w:val="0"/>
              <w:widowControl/>
              <w:suppressLineNumbers w:val="0"/>
              <w:suppressAutoHyphens/>
              <w:jc w:val="left"/>
              <w:textAlignment w:val="center"/>
              <w:rPr>
                <w:rFonts w:ascii="方正黑体简体" w:eastAsia="方正黑体简体" w:cs="方正黑体简体" w:hAnsi="方正黑体简体"/>
                <w:i w:val="0"/>
                <w:iCs w:val="0"/>
                <w:color w:val="000000"/>
                <w:sz w:val="24"/>
                <w:szCs w:val="24"/>
                <w:u w:val="none"/>
              </w:rPr>
            </w:pPr>
            <w:r>
              <w:rPr>
                <w:rFonts w:ascii="方正黑体简体" w:eastAsia="方正黑体简体" w:cs="方正黑体简体" w:hAnsi="方正黑体简体"/>
                <w:i w:val="0"/>
                <w:iCs w:val="0"/>
                <w:color w:val="000000"/>
                <w:kern w:val="0"/>
                <w:sz w:val="24"/>
                <w:szCs w:val="24"/>
                <w:u w:val="none"/>
                <w:lang w:val="en-US" w:eastAsia="zh-CN"/>
              </w:rPr>
              <w:t>附表11</w:t>
            </w:r>
          </w:p>
        </w:tc>
        <w:tc>
          <w:tcPr>
            <w:tcW w:w="3021" w:type="dxa"/>
            <w:tcBorders>
              <w:top w:val="nil"/>
              <w:left w:val="nil"/>
              <w:bottom w:val="nil"/>
              <w:right w:val="nil"/>
            </w:tcBorders>
            <w:shd w:val="clear" w:color="auto" w:fill="auto"/>
            <w:vAlign w:val="center"/>
          </w:tcPr>
          <w:p>
            <w:pPr>
              <w:rPr>
                <w:rFonts w:ascii="黑体" w:eastAsia="黑体" w:cs="黑体" w:hAnsi="黑体" w:hint="eastAsia"/>
                <w:i w:val="0"/>
                <w:iCs w:val="0"/>
                <w:color w:val="000000"/>
                <w:sz w:val="18"/>
                <w:szCs w:val="18"/>
                <w:u w:val="none"/>
              </w:rPr>
            </w:pPr>
          </w:p>
        </w:tc>
        <w:tc>
          <w:tcPr>
            <w:tcW w:w="1424" w:type="dxa"/>
            <w:tcBorders>
              <w:top w:val="single" w:sz="4" w:space="0" w:color="FFFFFF"/>
              <w:left w:val="single" w:sz="4" w:space="0" w:color="FFFFFF"/>
              <w:bottom w:val="single" w:sz="4" w:space="0" w:color="FFFFFF"/>
              <w:right w:val="single" w:sz="4" w:space="0" w:color="FFFFFF"/>
            </w:tcBorders>
            <w:shd w:val="clear" w:color="auto" w:fill="auto"/>
            <w:vAlign w:val="center"/>
          </w:tcPr>
          <w:p>
            <w:pPr>
              <w:rPr>
                <w:rFonts w:ascii="宋体" w:eastAsia="宋体" w:cs="宋体" w:hAnsi="宋体" w:hint="eastAsia"/>
                <w:i w:val="0"/>
                <w:iCs w:val="0"/>
                <w:color w:val="000000"/>
                <w:sz w:val="18"/>
                <w:szCs w:val="18"/>
                <w:u w:val="none"/>
              </w:rPr>
            </w:pPr>
          </w:p>
        </w:tc>
        <w:tc>
          <w:tcPr>
            <w:tcW w:w="1459" w:type="dxa"/>
            <w:tcBorders>
              <w:top w:val="single" w:sz="4" w:space="0" w:color="FFFFFF"/>
              <w:left w:val="single" w:sz="4" w:space="0" w:color="FFFFFF"/>
              <w:bottom w:val="single" w:sz="4" w:space="0" w:color="FFFFFF"/>
              <w:right w:val="single" w:sz="4" w:space="0" w:color="FFFFFF"/>
            </w:tcBorders>
            <w:shd w:val="clear" w:color="auto" w:fill="auto"/>
            <w:vAlign w:val="center"/>
          </w:tcPr>
          <w:p>
            <w:pPr>
              <w:rPr>
                <w:rFonts w:ascii="宋体" w:eastAsia="宋体" w:cs="宋体" w:hAnsi="宋体" w:hint="eastAsia"/>
                <w:i w:val="0"/>
                <w:iCs w:val="0"/>
                <w:color w:val="000000"/>
                <w:sz w:val="18"/>
                <w:szCs w:val="18"/>
                <w:u w:val="none"/>
              </w:rPr>
            </w:pPr>
          </w:p>
        </w:tc>
        <w:tc>
          <w:tcPr>
            <w:tcW w:w="1424" w:type="dxa"/>
            <w:tcBorders>
              <w:top w:val="single" w:sz="4" w:space="0" w:color="FFFFFF"/>
              <w:left w:val="single" w:sz="4" w:space="0" w:color="FFFFFF"/>
              <w:bottom w:val="single" w:sz="4" w:space="0" w:color="FFFFFF"/>
              <w:right w:val="single" w:sz="4" w:space="0" w:color="FFFFFF"/>
            </w:tcBorders>
            <w:shd w:val="clear" w:color="auto" w:fill="auto"/>
            <w:vAlign w:val="center"/>
          </w:tcPr>
          <w:p>
            <w:pPr>
              <w:rPr>
                <w:rFonts w:ascii="宋体" w:eastAsia="宋体" w:cs="宋体" w:hAnsi="宋体" w:hint="eastAsia"/>
                <w:i w:val="0"/>
                <w:iCs w:val="0"/>
                <w:color w:val="000000"/>
                <w:sz w:val="18"/>
                <w:szCs w:val="18"/>
                <w:u w:val="none"/>
              </w:rPr>
            </w:pPr>
          </w:p>
        </w:tc>
        <w:tc>
          <w:tcPr>
            <w:tcW w:w="1763" w:type="dxa"/>
            <w:tcBorders>
              <w:top w:val="single" w:sz="4" w:space="0" w:color="FFFFFF"/>
              <w:left w:val="single" w:sz="4" w:space="0" w:color="FFFFFF"/>
              <w:bottom w:val="single" w:sz="4" w:space="0" w:color="FFFFFF"/>
              <w:right w:val="single" w:sz="4" w:space="0" w:color="FFFFFF"/>
            </w:tcBorders>
            <w:shd w:val="clear" w:color="auto" w:fill="auto"/>
            <w:vAlign w:val="center"/>
          </w:tcPr>
          <w:p>
            <w:pPr>
              <w:rPr>
                <w:rFonts w:ascii="宋体" w:eastAsia="宋体" w:cs="宋体" w:hAnsi="宋体" w:hint="eastAsia"/>
                <w:i w:val="0"/>
                <w:iCs w:val="0"/>
                <w:color w:val="000000"/>
                <w:sz w:val="18"/>
                <w:szCs w:val="18"/>
                <w:u w:val="none"/>
              </w:rPr>
            </w:pPr>
          </w:p>
        </w:tc>
        <w:tc>
          <w:tcPr>
            <w:tcW w:w="1763" w:type="dxa"/>
            <w:tcBorders>
              <w:top w:val="single" w:sz="4" w:space="0" w:color="FFFFFF"/>
              <w:left w:val="single" w:sz="4" w:space="0" w:color="FFFFFF"/>
              <w:bottom w:val="single" w:sz="4" w:space="0" w:color="FFFFFF"/>
              <w:right w:val="single" w:sz="4" w:space="0" w:color="FFFFFF"/>
            </w:tcBorders>
            <w:shd w:val="clear" w:color="auto" w:fill="auto"/>
            <w:vAlign w:val="center"/>
          </w:tcPr>
          <w:p>
            <w:pPr>
              <w:rPr>
                <w:rFonts w:ascii="宋体" w:eastAsia="宋体" w:cs="宋体" w:hAnsi="宋体" w:hint="eastAsia"/>
                <w:i w:val="0"/>
                <w:iCs w:val="0"/>
                <w:color w:val="000000"/>
                <w:sz w:val="18"/>
                <w:szCs w:val="18"/>
                <w:u w:val="none"/>
              </w:rPr>
            </w:pPr>
          </w:p>
        </w:tc>
        <w:tc>
          <w:tcPr>
            <w:tcW w:w="1756" w:type="dxa"/>
            <w:tcBorders>
              <w:top w:val="single" w:sz="4" w:space="0" w:color="FFFFFF"/>
              <w:left w:val="single" w:sz="4" w:space="0" w:color="FFFFFF"/>
              <w:bottom w:val="single" w:sz="4" w:space="0" w:color="FFFFFF"/>
              <w:right w:val="single" w:sz="4" w:space="0" w:color="FFFFFF"/>
            </w:tcBorders>
            <w:shd w:val="clear" w:color="auto" w:fill="auto"/>
            <w:vAlign w:val="center"/>
          </w:tcPr>
          <w:p>
            <w:pPr>
              <w:jc w:val="right"/>
              <w:rPr>
                <w:rFonts w:ascii="宋体" w:eastAsia="宋体" w:cs="宋体" w:hAnsi="宋体" w:hint="eastAsia"/>
                <w:i w:val="0"/>
                <w:iCs w:val="0"/>
                <w:color w:val="000000"/>
                <w:sz w:val="22"/>
                <w:szCs w:val="22"/>
                <w:u w:val="none"/>
              </w:rPr>
            </w:pPr>
          </w:p>
        </w:tc>
      </w:tr>
    </w:tbl>
    <w:p>
      <w:pPr>
        <w:rPr>
          <w:rFonts w:ascii="方正黑体简体" w:eastAsia="方正黑体简体" w:cs="方正黑体简体" w:hAnsi="方正黑体简体"/>
          <w:i w:val="0"/>
          <w:iCs w:val="0"/>
          <w:color w:val="000000"/>
          <w:kern w:val="0"/>
          <w:sz w:val="24"/>
          <w:szCs w:val="24"/>
          <w:u w:val="none"/>
          <w:lang w:val="en-US" w:eastAsia="zh-CN"/>
        </w:rPr>
      </w:pPr>
      <w:r>
        <w:rPr>
          <w:rFonts w:ascii="方正黑体简体" w:eastAsia="方正黑体简体" w:cs="方正黑体简体" w:hAnsi="方正黑体简体"/>
          <w:i w:val="0"/>
          <w:iCs w:val="0"/>
          <w:color w:val="000000"/>
          <w:kern w:val="0"/>
          <w:sz w:val="24"/>
          <w:szCs w:val="24"/>
          <w:u w:val="none"/>
          <w:lang w:val="en-US" w:eastAsia="zh-CN"/>
        </w:rPr>
        <w:drawing>
          <wp:inline distT="0" distB="0" distL="85723" distR="85723">
            <wp:extent cx="8100060" cy="1589545"/>
            <wp:effectExtent l="0" t="0" r="28" b="37"/>
            <wp:docPr id="31" name="图片"/>
            <wp:cNvGraphicFramePr>
              <a:graphicFrameLocks noChangeAspect="1"/>
            </wp:cNvGraphicFramePr>
            <a:graphic>
              <a:graphicData uri="http://schemas.openxmlformats.org/drawingml/2006/picture">
                <pic:pic>
                  <pic:nvPicPr>
                    <pic:cNvPr id="33" name="图片 33"/>
                    <pic:cNvPicPr/>
                  </pic:nvPicPr>
                  <pic:blipFill>
                    <a:blip r:embed="rId15"/>
                    <a:stretch>
                      <a:fillRect/>
                    </a:stretch>
                  </pic:blipFill>
                  <pic:spPr>
                    <a:xfrm rot="0">
                      <a:off x="0" y="0"/>
                      <a:ext cx="8100060" cy="1589545"/>
                    </a:xfrm>
                    <a:prstGeom prst="rect"/>
                    <a:noFill/>
                    <a:ln w="9525" cmpd="sng" cap="flat">
                      <a:noFill/>
                      <a:prstDash val="solid"/>
                      <a:miter/>
                    </a:ln>
                  </pic:spPr>
                </pic:pic>
              </a:graphicData>
            </a:graphic>
          </wp:inline>
        </w:drawing>
      </w:r>
    </w:p>
    <w:tbl>
      <w:tblPr>
        <w:jc w:val="left"/>
        <w:tblInd w:w="96" w:type="dxa"/>
        <w:tblW w:w="13731" w:type="dxa"/>
        <w:tblBorders>
          <w:top w:val="none" w:sz="0" w:space="0" w:color="auto"/>
          <w:left w:val="none" w:sz="0" w:space="0" w:color="auto"/>
          <w:bottom w:val="none" w:sz="0" w:space="0" w:color="auto"/>
          <w:right w:val="none" w:sz="0" w:space="0" w:color="auto"/>
        </w:tblBorders>
        <w:shd w:val="clear" w:color="auto" w:fill="auto"/>
        <w:tblCellMar>
          <w:top w:w="0" w:type="dxa"/>
          <w:left w:w="108" w:type="dxa"/>
          <w:bottom w:w="0" w:type="dxa"/>
          <w:right w:w="108" w:type="dxa"/>
        </w:tblCellMar>
      </w:tblPr>
      <w:tblGrid>
        <w:gridCol w:w="1432"/>
        <w:gridCol w:w="512"/>
        <w:gridCol w:w="204"/>
        <w:gridCol w:w="768"/>
        <w:gridCol w:w="673"/>
        <w:gridCol w:w="434"/>
        <w:gridCol w:w="1364"/>
        <w:gridCol w:w="1890"/>
        <w:gridCol w:w="743"/>
        <w:gridCol w:w="364"/>
        <w:gridCol w:w="1134"/>
        <w:gridCol w:w="406"/>
        <w:gridCol w:w="661"/>
        <w:gridCol w:w="1040"/>
        <w:gridCol w:w="203"/>
        <w:gridCol w:w="823"/>
        <w:gridCol w:w="1053"/>
        <w:gridCol w:w="28"/>
      </w:tblGrid>
      <w:tr>
        <w:trPr>
          <w:trHeight w:val="500"/>
        </w:trPr>
        <w:tc>
          <w:tcPr>
            <w:tcW w:w="1432" w:type="dxa"/>
            <w:tcBorders>
              <w:top w:val="single" w:sz="4" w:space="0" w:color="FFFFFF"/>
              <w:left w:val="single" w:sz="4" w:space="0" w:color="FFFFFF"/>
              <w:bottom w:val="single" w:sz="4" w:space="0" w:color="FFFFFF"/>
              <w:right w:val="single" w:sz="4" w:space="0" w:color="FFFFFF"/>
            </w:tcBorders>
            <w:shd w:val="clear" w:color="auto" w:fill="auto"/>
            <w:noWrap/>
            <w:vAlign w:val="center"/>
          </w:tcPr>
          <w:p>
            <w:pPr>
              <w:rPr>
                <w:rFonts w:ascii="方正黑体简体" w:eastAsia="方正黑体简体" w:cs="方正黑体简体" w:hAnsi="方正黑体简体"/>
                <w:i w:val="0"/>
                <w:iCs w:val="0"/>
                <w:color w:val="000000"/>
                <w:sz w:val="24"/>
                <w:szCs w:val="24"/>
                <w:u w:val="none"/>
              </w:rPr>
            </w:pPr>
            <w:r>
              <w:rPr>
                <w:rFonts w:ascii="方正黑体简体" w:eastAsia="方正黑体简体" w:cs="方正黑体简体" w:hAnsi="方正黑体简体"/>
                <w:i w:val="0"/>
                <w:iCs w:val="0"/>
                <w:color w:val="000000"/>
                <w:kern w:val="0"/>
                <w:sz w:val="24"/>
                <w:szCs w:val="24"/>
                <w:u w:val="none"/>
                <w:lang w:val="en-US" w:eastAsia="zh-CN"/>
              </w:rPr>
              <w:t>附表12</w:t>
            </w:r>
          </w:p>
        </w:tc>
        <w:tc>
          <w:tcPr>
            <w:tcW w:w="716" w:type="dxa"/>
            <w:gridSpan w:val="2"/>
            <w:tcBorders>
              <w:top w:val="single" w:sz="4" w:space="0" w:color="FFFFFF"/>
              <w:left w:val="single" w:sz="4" w:space="0" w:color="FFFFFF"/>
              <w:bottom w:val="single" w:sz="4" w:space="0" w:color="FFFFFF"/>
              <w:right w:val="single" w:sz="4" w:space="0" w:color="FFFFFF"/>
            </w:tcBorders>
            <w:shd w:val="clear" w:color="auto" w:fill="auto"/>
            <w:noWrap/>
            <w:vAlign w:val="center"/>
          </w:tcPr>
          <w:p>
            <w:pPr>
              <w:rPr>
                <w:rFonts w:ascii="方正黑体简体" w:eastAsia="方正黑体简体" w:cs="方正黑体简体" w:hAnsi="方正黑体简体"/>
                <w:i w:val="0"/>
                <w:iCs w:val="0"/>
                <w:color w:val="000000"/>
                <w:sz w:val="24"/>
                <w:szCs w:val="24"/>
                <w:u w:val="none"/>
              </w:rPr>
            </w:pPr>
          </w:p>
        </w:tc>
        <w:tc>
          <w:tcPr>
            <w:tcW w:w="1441" w:type="dxa"/>
            <w:gridSpan w:val="2"/>
            <w:tcBorders>
              <w:top w:val="nil"/>
              <w:left w:val="nil"/>
              <w:bottom w:val="nil"/>
              <w:right w:val="nil"/>
            </w:tcBorders>
            <w:shd w:val="clear" w:color="auto" w:fill="auto"/>
            <w:vAlign w:val="center"/>
          </w:tcPr>
          <w:p>
            <w:pPr>
              <w:rPr>
                <w:rFonts w:ascii="黑体" w:eastAsia="黑体" w:cs="黑体" w:hAnsi="黑体" w:hint="eastAsia"/>
                <w:i w:val="0"/>
                <w:iCs w:val="0"/>
                <w:color w:val="000000"/>
                <w:sz w:val="18"/>
                <w:szCs w:val="18"/>
                <w:u w:val="none"/>
              </w:rPr>
            </w:pPr>
          </w:p>
        </w:tc>
        <w:tc>
          <w:tcPr>
            <w:tcW w:w="4431" w:type="dxa"/>
            <w:gridSpan w:val="4"/>
            <w:tcBorders>
              <w:top w:val="nil"/>
              <w:left w:val="nil"/>
              <w:bottom w:val="nil"/>
              <w:right w:val="nil"/>
            </w:tcBorders>
            <w:shd w:val="clear" w:color="auto" w:fill="auto"/>
            <w:vAlign w:val="center"/>
          </w:tcPr>
          <w:p>
            <w:pPr>
              <w:rPr>
                <w:rFonts w:ascii="黑体" w:eastAsia="黑体" w:cs="黑体" w:hAnsi="黑体"/>
                <w:i w:val="0"/>
                <w:iCs w:val="0"/>
                <w:color w:val="000000"/>
                <w:sz w:val="18"/>
                <w:szCs w:val="18"/>
                <w:u w:val="none"/>
              </w:rPr>
            </w:pPr>
          </w:p>
        </w:tc>
        <w:tc>
          <w:tcPr>
            <w:tcW w:w="1904" w:type="dxa"/>
            <w:gridSpan w:val="3"/>
            <w:tcBorders>
              <w:top w:val="single" w:sz="4" w:space="0" w:color="FFFFFF"/>
              <w:left w:val="single" w:sz="4" w:space="0" w:color="FFFFFF"/>
              <w:bottom w:val="single" w:sz="4" w:space="0" w:color="FFFFFF"/>
              <w:right w:val="single" w:sz="4" w:space="0" w:color="FFFFFF"/>
            </w:tcBorders>
            <w:shd w:val="clear" w:color="auto" w:fill="auto"/>
            <w:vAlign w:val="center"/>
          </w:tcPr>
          <w:p>
            <w:pPr>
              <w:rPr>
                <w:rFonts w:ascii="宋体" w:eastAsia="宋体" w:cs="宋体" w:hAnsi="宋体" w:hint="eastAsia"/>
                <w:i w:val="0"/>
                <w:iCs w:val="0"/>
                <w:color w:val="000000"/>
                <w:sz w:val="18"/>
                <w:szCs w:val="18"/>
                <w:u w:val="none"/>
              </w:rPr>
            </w:pPr>
          </w:p>
        </w:tc>
        <w:tc>
          <w:tcPr>
            <w:tcW w:w="1904" w:type="dxa"/>
            <w:gridSpan w:val="3"/>
            <w:tcBorders>
              <w:top w:val="single" w:sz="4" w:space="0" w:color="FFFFFF"/>
              <w:left w:val="single" w:sz="4" w:space="0" w:color="FFFFFF"/>
              <w:bottom w:val="single" w:sz="4" w:space="0" w:color="FFFFFF"/>
              <w:right w:val="single" w:sz="4" w:space="0" w:color="FFFFFF"/>
            </w:tcBorders>
            <w:shd w:val="clear" w:color="auto" w:fill="auto"/>
            <w:vAlign w:val="center"/>
          </w:tcPr>
          <w:p>
            <w:pPr>
              <w:rPr>
                <w:rFonts w:ascii="宋体" w:eastAsia="宋体" w:cs="宋体" w:hAnsi="宋体" w:hint="eastAsia"/>
                <w:i w:val="0"/>
                <w:iCs w:val="0"/>
                <w:color w:val="000000"/>
                <w:sz w:val="18"/>
                <w:szCs w:val="18"/>
                <w:u w:val="none"/>
              </w:rPr>
            </w:pPr>
          </w:p>
        </w:tc>
        <w:tc>
          <w:tcPr>
            <w:tcW w:w="1904" w:type="dxa"/>
            <w:gridSpan w:val="3"/>
            <w:tcBorders>
              <w:top w:val="single" w:sz="4" w:space="0" w:color="FFFFFF"/>
              <w:left w:val="single" w:sz="4" w:space="0" w:color="FFFFFF"/>
              <w:bottom w:val="single" w:sz="4" w:space="0" w:color="FFFFFF"/>
              <w:right w:val="single" w:sz="4" w:space="0" w:color="FFFFFF"/>
            </w:tcBorders>
            <w:shd w:val="clear" w:color="auto" w:fill="auto"/>
            <w:vAlign w:val="center"/>
          </w:tcPr>
          <w:p>
            <w:pPr>
              <w:jc w:val="right"/>
              <w:rPr>
                <w:rFonts w:ascii="宋体" w:eastAsia="宋体" w:cs="宋体" w:hAnsi="宋体" w:hint="eastAsia"/>
                <w:i w:val="0"/>
                <w:iCs w:val="0"/>
                <w:color w:val="000000"/>
                <w:sz w:val="22"/>
                <w:szCs w:val="22"/>
                <w:u w:val="none"/>
              </w:rPr>
            </w:pPr>
          </w:p>
        </w:tc>
      </w:tr>
      <w:tr>
        <w:trPr>
          <w:trHeight w:val="456"/>
        </w:trPr>
        <w:tc>
          <w:tcPr>
            <w:tcW w:w="13731" w:type="dxa"/>
            <w:gridSpan w:val="18"/>
            <w:tcBorders>
              <w:top w:val="single" w:sz="4" w:space="0" w:color="FFFFFF"/>
              <w:left w:val="single" w:sz="4" w:space="0" w:color="FFFFFF"/>
              <w:bottom w:val="single" w:sz="4" w:space="0" w:color="FFFFFF"/>
              <w:right w:val="single" w:sz="4" w:space="0" w:color="FFFFFF"/>
            </w:tcBorders>
            <w:shd w:val="clear" w:color="auto" w:fill="auto"/>
            <w:noWrap/>
            <w:vAlign w:val="center"/>
          </w:tcPr>
          <w:p>
            <w:pPr>
              <w:keepNext w:val="0"/>
              <w:keepLines w:val="0"/>
              <w:widowControl/>
              <w:suppressLineNumbers w:val="0"/>
              <w:suppressAutoHyphens/>
              <w:jc w:val="center"/>
              <w:textAlignment w:val="center"/>
              <w:rPr>
                <w:rFonts w:ascii="宋体" w:eastAsia="宋体" w:cs="宋体" w:hAnsi="宋体" w:hint="eastAsia"/>
                <w:b/>
                <w:bCs/>
                <w:i w:val="0"/>
                <w:iCs w:val="0"/>
                <w:color w:val="000000"/>
                <w:sz w:val="32"/>
                <w:szCs w:val="32"/>
                <w:u w:val="none"/>
              </w:rPr>
            </w:pPr>
            <w:r>
              <w:rPr>
                <w:rFonts w:ascii="宋体" w:eastAsia="宋体" w:cs="宋体" w:hAnsi="宋体" w:hint="eastAsia"/>
                <w:b/>
                <w:bCs/>
                <w:i w:val="0"/>
                <w:iCs w:val="0"/>
                <w:color w:val="000000"/>
                <w:sz w:val="32"/>
                <w:szCs w:val="32"/>
                <w:u w:val="none"/>
              </w:rPr>
              <w:drawing>
                <wp:inline distT="0" distB="0" distL="85723" distR="85723">
                  <wp:extent cx="8100060" cy="2205338"/>
                  <wp:effectExtent l="0" t="0" r="28" b="46"/>
                  <wp:docPr id="34" name="图片"/>
                  <wp:cNvGraphicFramePr>
                    <a:graphicFrameLocks noChangeAspect="1"/>
                  </wp:cNvGraphicFramePr>
                  <a:graphic>
                    <a:graphicData uri="http://schemas.openxmlformats.org/drawingml/2006/picture">
                      <pic:pic>
                        <pic:nvPicPr>
                          <pic:cNvPr id="36" name="图片 36"/>
                          <pic:cNvPicPr/>
                        </pic:nvPicPr>
                        <pic:blipFill>
                          <a:blip r:embed="rId16"/>
                          <a:stretch>
                            <a:fillRect/>
                          </a:stretch>
                        </pic:blipFill>
                        <pic:spPr>
                          <a:xfrm rot="0">
                            <a:off x="0" y="0"/>
                            <a:ext cx="8100060" cy="2205338"/>
                          </a:xfrm>
                          <a:prstGeom prst="rect"/>
                          <a:noFill/>
                          <a:ln w="9525" cmpd="sng" cap="flat">
                            <a:noFill/>
                            <a:prstDash val="solid"/>
                            <a:miter/>
                          </a:ln>
                        </pic:spPr>
                      </pic:pic>
                    </a:graphicData>
                  </a:graphic>
                </wp:inline>
              </w:drawing>
            </w:r>
          </w:p>
        </w:tc>
      </w:tr>
      <w:tr>
        <w:trPr>
          <w:trHeight w:val="500"/>
          <w:gridAfter w:val="1"/>
          <w:wAfter w:w="28" w:type="dxa"/>
        </w:trPr>
        <w:tc>
          <w:tcPr>
            <w:tcW w:w="1944" w:type="dxa"/>
            <w:gridSpan w:val="2"/>
            <w:tcBorders>
              <w:top w:val="single" w:sz="4" w:space="0" w:color="FFFFFF"/>
              <w:left w:val="single" w:sz="4" w:space="0" w:color="FFFFFF"/>
              <w:bottom w:val="single" w:sz="4" w:space="0" w:color="FFFFFF"/>
              <w:right w:val="nil"/>
            </w:tcBorders>
            <w:shd w:val="clear" w:color="auto" w:fill="auto"/>
            <w:noWrap/>
            <w:vAlign w:val="center"/>
          </w:tcPr>
          <w:p>
            <w:pPr>
              <w:jc w:val="left"/>
              <w:rPr>
                <w:rFonts w:ascii="方正黑体简体" w:eastAsia="方正黑体简体" w:cs="方正黑体简体" w:hAnsi="方正黑体简体"/>
                <w:i w:val="0"/>
                <w:iCs w:val="0"/>
                <w:color w:val="000000"/>
                <w:kern w:val="0"/>
                <w:sz w:val="24"/>
                <w:szCs w:val="24"/>
                <w:u w:val="none"/>
                <w:lang w:val="en-US" w:eastAsia="zh-CN"/>
              </w:rPr>
            </w:pPr>
          </w:p>
          <w:p>
            <w:pPr>
              <w:jc w:val="left"/>
              <w:rPr>
                <w:rFonts w:ascii="方正黑体简体" w:eastAsia="方正黑体简体" w:cs="方正黑体简体" w:hAnsi="方正黑体简体"/>
                <w:i w:val="0"/>
                <w:iCs w:val="0"/>
                <w:color w:val="000000"/>
                <w:kern w:val="0"/>
                <w:sz w:val="24"/>
                <w:szCs w:val="24"/>
                <w:u w:val="none"/>
                <w:lang w:val="en-US" w:eastAsia="zh-CN"/>
              </w:rPr>
            </w:pPr>
          </w:p>
          <w:p>
            <w:pPr>
              <w:jc w:val="left"/>
              <w:rPr>
                <w:rFonts w:ascii="方正黑体简体" w:eastAsia="方正黑体简体" w:cs="方正黑体简体" w:hAnsi="方正黑体简体"/>
                <w:i w:val="0"/>
                <w:iCs w:val="0"/>
                <w:color w:val="000000"/>
                <w:kern w:val="0"/>
                <w:sz w:val="24"/>
                <w:szCs w:val="24"/>
                <w:u w:val="none"/>
                <w:lang w:val="en-US" w:eastAsia="zh-CN"/>
              </w:rPr>
            </w:pPr>
          </w:p>
          <w:p>
            <w:pPr>
              <w:jc w:val="left"/>
              <w:rPr>
                <w:rFonts w:ascii="宋体" w:eastAsia="宋体" w:cs="宋体" w:hAnsi="宋体" w:hint="eastAsia"/>
                <w:i w:val="0"/>
                <w:iCs w:val="0"/>
                <w:color w:val="000000"/>
                <w:sz w:val="22"/>
                <w:szCs w:val="22"/>
                <w:u w:val="none"/>
              </w:rPr>
            </w:pPr>
            <w:r>
              <w:rPr>
                <w:rFonts w:ascii="方正黑体简体" w:eastAsia="方正黑体简体" w:cs="方正黑体简体" w:hAnsi="方正黑体简体"/>
                <w:i w:val="0"/>
                <w:iCs w:val="0"/>
                <w:color w:val="000000"/>
                <w:kern w:val="0"/>
                <w:sz w:val="24"/>
                <w:szCs w:val="24"/>
                <w:u w:val="none"/>
                <w:lang w:val="en-US" w:eastAsia="zh-CN"/>
              </w:rPr>
              <w:t>附表13</w:t>
            </w:r>
          </w:p>
        </w:tc>
        <w:tc>
          <w:tcPr>
            <w:tcW w:w="972" w:type="dxa"/>
            <w:gridSpan w:val="2"/>
            <w:tcBorders>
              <w:top w:val="nil"/>
              <w:left w:val="nil"/>
              <w:bottom w:val="nil"/>
              <w:right w:val="nil"/>
            </w:tcBorders>
            <w:shd w:val="clear" w:color="auto" w:fill="auto"/>
            <w:noWrap/>
            <w:vAlign w:val="center"/>
          </w:tcPr>
          <w:p>
            <w:pPr>
              <w:rPr>
                <w:rFonts w:ascii="宋体" w:eastAsia="宋体" w:cs="宋体" w:hAnsi="宋体" w:hint="eastAsia"/>
                <w:i w:val="0"/>
                <w:iCs w:val="0"/>
                <w:color w:val="000000"/>
                <w:sz w:val="22"/>
                <w:szCs w:val="22"/>
                <w:u w:val="none"/>
              </w:rPr>
            </w:pPr>
          </w:p>
        </w:tc>
        <w:tc>
          <w:tcPr>
            <w:tcW w:w="1107" w:type="dxa"/>
            <w:gridSpan w:val="2"/>
            <w:tcBorders>
              <w:top w:val="nil"/>
              <w:left w:val="nil"/>
              <w:bottom w:val="nil"/>
              <w:right w:val="nil"/>
            </w:tcBorders>
            <w:shd w:val="clear" w:color="auto" w:fill="auto"/>
            <w:noWrap/>
            <w:vAlign w:val="center"/>
          </w:tcPr>
          <w:p>
            <w:pPr>
              <w:rPr>
                <w:rFonts w:ascii="宋体" w:eastAsia="宋体" w:cs="宋体" w:hAnsi="宋体" w:hint="eastAsia"/>
                <w:i w:val="0"/>
                <w:iCs w:val="0"/>
                <w:color w:val="000000"/>
                <w:sz w:val="22"/>
                <w:szCs w:val="22"/>
                <w:u w:val="none"/>
              </w:rPr>
            </w:pPr>
          </w:p>
        </w:tc>
        <w:tc>
          <w:tcPr>
            <w:tcW w:w="1364" w:type="dxa"/>
            <w:tcBorders>
              <w:top w:val="nil"/>
              <w:left w:val="nil"/>
              <w:bottom w:val="nil"/>
              <w:right w:val="nil"/>
            </w:tcBorders>
            <w:shd w:val="clear" w:color="auto" w:fill="auto"/>
            <w:noWrap/>
            <w:vAlign w:val="center"/>
          </w:tcPr>
          <w:p>
            <w:pPr>
              <w:rPr>
                <w:rFonts w:ascii="宋体" w:eastAsia="宋体" w:cs="宋体" w:hAnsi="宋体" w:hint="eastAsia"/>
                <w:i w:val="0"/>
                <w:iCs w:val="0"/>
                <w:color w:val="000000"/>
                <w:sz w:val="22"/>
                <w:szCs w:val="22"/>
                <w:u w:val="none"/>
              </w:rPr>
            </w:pPr>
          </w:p>
        </w:tc>
        <w:tc>
          <w:tcPr>
            <w:tcW w:w="1890" w:type="dxa"/>
            <w:tcBorders>
              <w:top w:val="nil"/>
              <w:left w:val="nil"/>
              <w:bottom w:val="nil"/>
              <w:right w:val="nil"/>
            </w:tcBorders>
            <w:shd w:val="clear" w:color="auto" w:fill="auto"/>
            <w:noWrap/>
            <w:vAlign w:val="center"/>
          </w:tcPr>
          <w:p>
            <w:pPr>
              <w:rPr>
                <w:rFonts w:ascii="宋体" w:eastAsia="宋体" w:cs="宋体" w:hAnsi="宋体" w:hint="eastAsia"/>
                <w:i w:val="0"/>
                <w:iCs w:val="0"/>
                <w:color w:val="000000"/>
                <w:sz w:val="22"/>
                <w:szCs w:val="22"/>
                <w:u w:val="none"/>
              </w:rPr>
            </w:pPr>
          </w:p>
        </w:tc>
        <w:tc>
          <w:tcPr>
            <w:tcW w:w="1107" w:type="dxa"/>
            <w:gridSpan w:val="2"/>
            <w:tcBorders>
              <w:top w:val="nil"/>
              <w:left w:val="nil"/>
              <w:bottom w:val="nil"/>
              <w:right w:val="nil"/>
            </w:tcBorders>
            <w:shd w:val="clear" w:color="auto" w:fill="auto"/>
            <w:noWrap/>
            <w:vAlign w:val="center"/>
          </w:tcPr>
          <w:p>
            <w:pPr>
              <w:rPr>
                <w:rFonts w:ascii="宋体" w:eastAsia="宋体" w:cs="宋体" w:hAnsi="宋体" w:hint="eastAsia"/>
                <w:i w:val="0"/>
                <w:iCs w:val="0"/>
                <w:color w:val="000000"/>
                <w:sz w:val="22"/>
                <w:szCs w:val="22"/>
                <w:u w:val="none"/>
              </w:rPr>
            </w:pPr>
          </w:p>
        </w:tc>
        <w:tc>
          <w:tcPr>
            <w:tcW w:w="1134" w:type="dxa"/>
            <w:tcBorders>
              <w:top w:val="nil"/>
              <w:left w:val="nil"/>
              <w:bottom w:val="nil"/>
              <w:right w:val="nil"/>
            </w:tcBorders>
            <w:shd w:val="clear" w:color="auto" w:fill="auto"/>
            <w:noWrap/>
            <w:vAlign w:val="center"/>
          </w:tcPr>
          <w:p>
            <w:pPr>
              <w:rPr>
                <w:rFonts w:ascii="宋体" w:eastAsia="宋体" w:cs="宋体" w:hAnsi="宋体" w:hint="eastAsia"/>
                <w:i w:val="0"/>
                <w:iCs w:val="0"/>
                <w:color w:val="000000"/>
                <w:sz w:val="22"/>
                <w:szCs w:val="22"/>
                <w:u w:val="none"/>
              </w:rPr>
            </w:pPr>
          </w:p>
        </w:tc>
        <w:tc>
          <w:tcPr>
            <w:tcW w:w="1067" w:type="dxa"/>
            <w:gridSpan w:val="2"/>
            <w:tcBorders>
              <w:top w:val="nil"/>
              <w:left w:val="nil"/>
              <w:bottom w:val="nil"/>
              <w:right w:val="nil"/>
            </w:tcBorders>
            <w:shd w:val="clear" w:color="auto" w:fill="auto"/>
            <w:noWrap/>
            <w:vAlign w:val="center"/>
          </w:tcPr>
          <w:p>
            <w:pPr>
              <w:rPr>
                <w:rFonts w:ascii="宋体" w:eastAsia="宋体" w:cs="宋体" w:hAnsi="宋体" w:hint="eastAsia"/>
                <w:i w:val="0"/>
                <w:iCs w:val="0"/>
                <w:color w:val="000000"/>
                <w:sz w:val="22"/>
                <w:szCs w:val="22"/>
                <w:u w:val="none"/>
              </w:rPr>
            </w:pPr>
          </w:p>
        </w:tc>
        <w:tc>
          <w:tcPr>
            <w:tcW w:w="1040" w:type="dxa"/>
            <w:tcBorders>
              <w:top w:val="nil"/>
              <w:left w:val="nil"/>
              <w:bottom w:val="nil"/>
              <w:right w:val="nil"/>
            </w:tcBorders>
            <w:shd w:val="clear" w:color="auto" w:fill="auto"/>
            <w:noWrap/>
            <w:vAlign w:val="center"/>
          </w:tcPr>
          <w:p>
            <w:pPr>
              <w:rPr>
                <w:rFonts w:ascii="宋体" w:eastAsia="宋体" w:cs="宋体" w:hAnsi="宋体" w:hint="eastAsia"/>
                <w:i w:val="0"/>
                <w:iCs w:val="0"/>
                <w:color w:val="000000"/>
                <w:sz w:val="22"/>
                <w:szCs w:val="22"/>
                <w:u w:val="none"/>
              </w:rPr>
            </w:pPr>
          </w:p>
        </w:tc>
        <w:tc>
          <w:tcPr>
            <w:tcW w:w="1026" w:type="dxa"/>
            <w:gridSpan w:val="2"/>
            <w:tcBorders>
              <w:top w:val="nil"/>
              <w:left w:val="nil"/>
              <w:bottom w:val="nil"/>
              <w:right w:val="nil"/>
            </w:tcBorders>
            <w:shd w:val="clear" w:color="auto" w:fill="auto"/>
            <w:noWrap/>
            <w:vAlign w:val="center"/>
          </w:tcPr>
          <w:p>
            <w:pPr>
              <w:rPr>
                <w:rFonts w:ascii="宋体" w:eastAsia="宋体" w:cs="宋体" w:hAnsi="宋体" w:hint="eastAsia"/>
                <w:i w:val="0"/>
                <w:iCs w:val="0"/>
                <w:color w:val="000000"/>
                <w:sz w:val="22"/>
                <w:szCs w:val="22"/>
                <w:u w:val="none"/>
              </w:rPr>
            </w:pPr>
          </w:p>
        </w:tc>
        <w:tc>
          <w:tcPr>
            <w:tcW w:w="1053" w:type="dxa"/>
            <w:tcBorders>
              <w:top w:val="nil"/>
              <w:left w:val="nil"/>
              <w:bottom w:val="nil"/>
              <w:right w:val="nil"/>
            </w:tcBorders>
            <w:shd w:val="clear" w:color="auto" w:fill="auto"/>
            <w:noWrap/>
            <w:vAlign w:val="center"/>
          </w:tcPr>
          <w:p>
            <w:pPr>
              <w:rPr>
                <w:rFonts w:ascii="宋体" w:eastAsia="宋体" w:cs="宋体" w:hAnsi="宋体" w:hint="eastAsia"/>
                <w:i w:val="0"/>
                <w:iCs w:val="0"/>
                <w:color w:val="000000"/>
                <w:sz w:val="22"/>
                <w:szCs w:val="22"/>
                <w:u w:val="none"/>
              </w:rPr>
            </w:pPr>
          </w:p>
        </w:tc>
      </w:tr>
      <w:tr>
        <w:trPr>
          <w:trHeight w:val="384"/>
          <w:gridAfter w:val="1"/>
          <w:wAfter w:w="28" w:type="dxa"/>
        </w:trPr>
        <w:tc>
          <w:tcPr>
            <w:tcW w:w="13703" w:type="dxa"/>
            <w:gridSpan w:val="17"/>
            <w:tcBorders>
              <w:top w:val="single" w:sz="4" w:space="0" w:color="FFFFFF"/>
              <w:left w:val="single" w:sz="4" w:space="0" w:color="FFFFFF"/>
              <w:bottom w:val="single" w:sz="4" w:space="0" w:color="FFFFFF"/>
              <w:right w:val="single" w:sz="4" w:space="0" w:color="FFFFFF"/>
            </w:tcBorders>
            <w:shd w:val="clear" w:color="auto" w:fill="auto"/>
            <w:vAlign w:val="center"/>
          </w:tcPr>
          <w:p>
            <w:pPr>
              <w:keepNext w:val="0"/>
              <w:keepLines w:val="0"/>
              <w:widowControl/>
              <w:suppressLineNumbers w:val="0"/>
              <w:suppressAutoHyphens/>
              <w:jc w:val="center"/>
              <w:textAlignment w:val="center"/>
              <w:rPr>
                <w:rFonts w:ascii="宋体" w:eastAsia="宋体" w:cs="宋体" w:hAnsi="宋体"/>
                <w:b/>
                <w:bCs/>
                <w:i w:val="0"/>
                <w:iCs w:val="0"/>
                <w:color w:val="000000"/>
                <w:kern w:val="0"/>
                <w:sz w:val="30"/>
                <w:szCs w:val="30"/>
                <w:u w:val="none"/>
                <w:lang w:val="en-US" w:eastAsia="zh-CN"/>
              </w:rPr>
            </w:pPr>
            <w:r>
              <w:rPr>
                <w:rFonts w:ascii="宋体" w:eastAsia="宋体" w:cs="宋体" w:hAnsi="宋体" w:hint="eastAsia"/>
                <w:b/>
                <w:bCs/>
                <w:i w:val="0"/>
                <w:iCs w:val="0"/>
                <w:color w:val="000000"/>
                <w:kern w:val="0"/>
                <w:sz w:val="30"/>
                <w:szCs w:val="30"/>
                <w:u w:val="none"/>
                <w:lang w:val="en-US" w:eastAsia="zh-CN"/>
              </w:rPr>
              <w:t>预算项目支出绩效目标表（</w:t>
            </w:r>
            <w:r>
              <w:rPr>
                <w:rFonts w:ascii="宋体" w:eastAsia="宋体" w:cs="宋体" w:hAnsi="宋体"/>
                <w:b/>
                <w:bCs/>
                <w:i w:val="0"/>
                <w:iCs w:val="0"/>
                <w:color w:val="000000"/>
                <w:kern w:val="0"/>
                <w:sz w:val="30"/>
                <w:szCs w:val="30"/>
                <w:u w:val="none"/>
                <w:lang w:val="en-US" w:eastAsia="zh-CN"/>
              </w:rPr>
              <w:t>2025</w:t>
            </w:r>
            <w:r>
              <w:rPr>
                <w:rFonts w:ascii="宋体" w:eastAsia="宋体" w:cs="宋体" w:hAnsi="宋体" w:hint="eastAsia"/>
                <w:b/>
                <w:bCs/>
                <w:i w:val="0"/>
                <w:iCs w:val="0"/>
                <w:color w:val="000000"/>
                <w:kern w:val="0"/>
                <w:sz w:val="30"/>
                <w:szCs w:val="30"/>
                <w:u w:val="none"/>
                <w:lang w:val="en-US" w:eastAsia="zh-CN"/>
              </w:rPr>
              <w:t>年度）</w:t>
            </w:r>
          </w:p>
          <w:tbl>
            <w:tblPr>
              <w:jc w:val="left"/>
              <w:tblInd w:w="0" w:type="dxa"/>
              <w:tblW w:w="13062" w:type="dxa"/>
              <w:tblBorders>
                <w:top w:val="none" w:sz="0" w:space="0" w:color="auto"/>
                <w:left w:val="none" w:sz="0" w:space="0" w:color="auto"/>
                <w:bottom w:val="none" w:sz="0" w:space="0" w:color="auto"/>
                <w:right w:val="none" w:sz="0" w:space="0" w:color="auto"/>
              </w:tblBorders>
              <w:tblCellMar>
                <w:top w:w="0" w:type="dxa"/>
                <w:left w:w="108" w:type="dxa"/>
                <w:bottom w:w="0" w:type="dxa"/>
                <w:right w:w="108" w:type="dxa"/>
              </w:tblCellMar>
            </w:tblPr>
            <w:tblGrid>
              <w:gridCol w:w="756"/>
              <w:gridCol w:w="1007"/>
              <w:gridCol w:w="818"/>
              <w:gridCol w:w="1663"/>
              <w:gridCol w:w="1268"/>
              <w:gridCol w:w="1200"/>
              <w:gridCol w:w="1800"/>
              <w:gridCol w:w="791"/>
              <w:gridCol w:w="777"/>
              <w:gridCol w:w="736"/>
              <w:gridCol w:w="900"/>
              <w:gridCol w:w="1345"/>
            </w:tblGrid>
            <w:tr>
              <w:trPr>
                <w:trHeight w:val="674"/>
              </w:trPr>
              <w:tc>
                <w:tcPr>
                  <w:tcW w:w="756" w:type="dxa"/>
                  <w:tcBorders>
                    <w:top w:val="single" w:sz="6" w:space="0" w:color="auto"/>
                    <w:left w:val="single" w:sz="6" w:space="0" w:color="auto"/>
                    <w:bottom w:val="single" w:sz="6" w:space="0" w:color="auto"/>
                    <w:right w:val="single" w:sz="6" w:space="0" w:color="auto"/>
                    <w:tl2br w:val="nil"/>
                    <w:tr2bl w:val="nil"/>
                  </w:tcBorders>
                  <w:noWrap/>
                  <w:vAlign w:val="center"/>
                </w:tcPr>
                <w:p>
                  <w:pPr>
                    <w:jc w:val="center"/>
                  </w:pPr>
                  <w:r>
                    <w:rPr>
                      <w:rFonts w:ascii="宋体" w:eastAsia="宋体" w:cs="Arial"/>
                      <w:b/>
                      <w:i w:val="0"/>
                      <w:color w:val="000000"/>
                      <w:sz w:val="18"/>
                    </w:rPr>
                    <w:t>单位名称</w:t>
                  </w:r>
                </w:p>
              </w:tc>
              <w:tc>
                <w:tcPr>
                  <w:tcW w:w="1007" w:type="dxa"/>
                  <w:tcBorders>
                    <w:top w:val="single" w:sz="6" w:space="0" w:color="auto"/>
                    <w:left w:val="single" w:sz="6" w:space="0" w:color="auto"/>
                    <w:bottom w:val="single" w:sz="6" w:space="0" w:color="auto"/>
                    <w:right w:val="single" w:sz="6" w:space="0" w:color="auto"/>
                    <w:tl2br w:val="nil"/>
                    <w:tr2bl w:val="nil"/>
                  </w:tcBorders>
                  <w:noWrap/>
                  <w:vAlign w:val="center"/>
                </w:tcPr>
                <w:p>
                  <w:pPr>
                    <w:jc w:val="center"/>
                  </w:pPr>
                  <w:r>
                    <w:rPr>
                      <w:rFonts w:ascii="宋体" w:eastAsia="宋体" w:cs="Arial"/>
                      <w:b/>
                      <w:i w:val="0"/>
                      <w:color w:val="000000"/>
                      <w:sz w:val="18"/>
                    </w:rPr>
                    <w:t>项目名称</w:t>
                  </w:r>
                </w:p>
              </w:tc>
              <w:tc>
                <w:tcPr>
                  <w:tcW w:w="818" w:type="dxa"/>
                  <w:tcBorders>
                    <w:top w:val="single" w:sz="6" w:space="0" w:color="auto"/>
                    <w:left w:val="single" w:sz="6" w:space="0" w:color="auto"/>
                    <w:bottom w:val="single" w:sz="6" w:space="0" w:color="auto"/>
                    <w:right w:val="single" w:sz="6" w:space="0" w:color="auto"/>
                    <w:tl2br w:val="nil"/>
                    <w:tr2bl w:val="nil"/>
                  </w:tcBorders>
                  <w:noWrap/>
                  <w:vAlign w:val="center"/>
                </w:tcPr>
                <w:p>
                  <w:pPr>
                    <w:jc w:val="center"/>
                  </w:pPr>
                  <w:r>
                    <w:rPr>
                      <w:rFonts w:ascii="宋体" w:eastAsia="宋体" w:cs="Arial"/>
                      <w:b/>
                      <w:i w:val="0"/>
                      <w:color w:val="000000"/>
                      <w:sz w:val="18"/>
                    </w:rPr>
                    <w:t>预算数</w:t>
                  </w:r>
                </w:p>
              </w:tc>
              <w:tc>
                <w:tcPr>
                  <w:tcW w:w="1663" w:type="dxa"/>
                  <w:tcBorders>
                    <w:top w:val="single" w:sz="6" w:space="0" w:color="auto"/>
                    <w:left w:val="single" w:sz="6" w:space="0" w:color="auto"/>
                    <w:bottom w:val="single" w:sz="6" w:space="0" w:color="auto"/>
                    <w:right w:val="single" w:sz="6" w:space="0" w:color="auto"/>
                    <w:tl2br w:val="nil"/>
                    <w:tr2bl w:val="nil"/>
                  </w:tcBorders>
                  <w:noWrap/>
                  <w:vAlign w:val="center"/>
                </w:tcPr>
                <w:p>
                  <w:pPr>
                    <w:jc w:val="center"/>
                  </w:pPr>
                  <w:r>
                    <w:rPr>
                      <w:rFonts w:ascii="宋体" w:eastAsia="宋体" w:cs="Arial"/>
                      <w:b/>
                      <w:i w:val="0"/>
                      <w:color w:val="000000"/>
                      <w:sz w:val="18"/>
                    </w:rPr>
                    <w:t>年度目标</w:t>
                  </w:r>
                </w:p>
              </w:tc>
              <w:tc>
                <w:tcPr>
                  <w:tcW w:w="1268" w:type="dxa"/>
                  <w:tcBorders>
                    <w:top w:val="single" w:sz="6" w:space="0" w:color="auto"/>
                    <w:left w:val="single" w:sz="6" w:space="0" w:color="auto"/>
                    <w:bottom w:val="single" w:sz="6" w:space="0" w:color="auto"/>
                    <w:right w:val="single" w:sz="6" w:space="0" w:color="auto"/>
                    <w:tl2br w:val="nil"/>
                    <w:tr2bl w:val="nil"/>
                  </w:tcBorders>
                  <w:noWrap/>
                  <w:vAlign w:val="center"/>
                </w:tcPr>
                <w:p>
                  <w:pPr>
                    <w:jc w:val="center"/>
                  </w:pPr>
                  <w:r>
                    <w:rPr>
                      <w:rFonts w:ascii="宋体" w:eastAsia="宋体" w:cs="Arial"/>
                      <w:b/>
                      <w:i w:val="0"/>
                      <w:color w:val="000000"/>
                      <w:sz w:val="18"/>
                    </w:rPr>
                    <w:t>一级指标</w:t>
                  </w:r>
                </w:p>
              </w:tc>
              <w:tc>
                <w:tcPr>
                  <w:tcW w:w="1200" w:type="dxa"/>
                  <w:tcBorders>
                    <w:top w:val="single" w:sz="6" w:space="0" w:color="auto"/>
                    <w:left w:val="single" w:sz="6" w:space="0" w:color="auto"/>
                    <w:bottom w:val="single" w:sz="6" w:space="0" w:color="auto"/>
                    <w:right w:val="single" w:sz="6" w:space="0" w:color="auto"/>
                    <w:tl2br w:val="nil"/>
                    <w:tr2bl w:val="nil"/>
                  </w:tcBorders>
                  <w:noWrap/>
                  <w:vAlign w:val="center"/>
                </w:tcPr>
                <w:p>
                  <w:pPr>
                    <w:jc w:val="center"/>
                  </w:pPr>
                  <w:r>
                    <w:rPr>
                      <w:rFonts w:ascii="宋体" w:eastAsia="宋体" w:cs="Arial"/>
                      <w:b/>
                      <w:i w:val="0"/>
                      <w:color w:val="000000"/>
                      <w:sz w:val="18"/>
                    </w:rPr>
                    <w:t>二级指标</w:t>
                  </w:r>
                </w:p>
              </w:tc>
              <w:tc>
                <w:tcPr>
                  <w:tcW w:w="1800" w:type="dxa"/>
                  <w:tcBorders>
                    <w:top w:val="single" w:sz="6" w:space="0" w:color="auto"/>
                    <w:left w:val="single" w:sz="6" w:space="0" w:color="auto"/>
                    <w:bottom w:val="single" w:sz="6" w:space="0" w:color="auto"/>
                    <w:right w:val="single" w:sz="6" w:space="0" w:color="auto"/>
                    <w:tl2br w:val="nil"/>
                    <w:tr2bl w:val="nil"/>
                  </w:tcBorders>
                  <w:noWrap/>
                  <w:vAlign w:val="center"/>
                </w:tcPr>
                <w:p>
                  <w:pPr>
                    <w:jc w:val="center"/>
                  </w:pPr>
                  <w:r>
                    <w:rPr>
                      <w:rFonts w:ascii="宋体" w:eastAsia="宋体" w:cs="Arial"/>
                      <w:b/>
                      <w:i w:val="0"/>
                      <w:color w:val="000000"/>
                      <w:sz w:val="18"/>
                    </w:rPr>
                    <w:t>三级指标</w:t>
                  </w:r>
                </w:p>
              </w:tc>
              <w:tc>
                <w:tcPr>
                  <w:tcW w:w="791" w:type="dxa"/>
                  <w:tcBorders>
                    <w:top w:val="single" w:sz="6" w:space="0" w:color="auto"/>
                    <w:left w:val="single" w:sz="6" w:space="0" w:color="auto"/>
                    <w:bottom w:val="single" w:sz="6" w:space="0" w:color="auto"/>
                    <w:right w:val="single" w:sz="6" w:space="0" w:color="auto"/>
                    <w:tl2br w:val="nil"/>
                    <w:tr2bl w:val="nil"/>
                  </w:tcBorders>
                  <w:noWrap/>
                  <w:vAlign w:val="center"/>
                </w:tcPr>
                <w:p>
                  <w:pPr>
                    <w:jc w:val="center"/>
                  </w:pPr>
                  <w:r>
                    <w:rPr>
                      <w:rFonts w:ascii="宋体" w:eastAsia="宋体" w:cs="Arial"/>
                      <w:b/>
                      <w:i w:val="0"/>
                      <w:color w:val="000000"/>
                      <w:sz w:val="18"/>
                    </w:rPr>
                    <w:t>指标性质</w:t>
                  </w:r>
                </w:p>
              </w:tc>
              <w:tc>
                <w:tcPr>
                  <w:tcW w:w="777" w:type="dxa"/>
                  <w:tcBorders>
                    <w:top w:val="single" w:sz="6" w:space="0" w:color="auto"/>
                    <w:left w:val="single" w:sz="6" w:space="0" w:color="auto"/>
                    <w:bottom w:val="single" w:sz="6" w:space="0" w:color="auto"/>
                    <w:right w:val="single" w:sz="6" w:space="0" w:color="auto"/>
                    <w:tl2br w:val="nil"/>
                    <w:tr2bl w:val="nil"/>
                  </w:tcBorders>
                  <w:noWrap/>
                  <w:vAlign w:val="center"/>
                </w:tcPr>
                <w:p>
                  <w:pPr>
                    <w:jc w:val="center"/>
                  </w:pPr>
                  <w:r>
                    <w:rPr>
                      <w:rFonts w:ascii="宋体" w:eastAsia="宋体" w:cs="Arial"/>
                      <w:b/>
                      <w:i w:val="0"/>
                      <w:color w:val="000000"/>
                      <w:sz w:val="18"/>
                    </w:rPr>
                    <w:t>指标值</w:t>
                  </w:r>
                </w:p>
              </w:tc>
              <w:tc>
                <w:tcPr>
                  <w:tcW w:w="736" w:type="dxa"/>
                  <w:tcBorders>
                    <w:top w:val="single" w:sz="6" w:space="0" w:color="auto"/>
                    <w:left w:val="single" w:sz="6" w:space="0" w:color="auto"/>
                    <w:bottom w:val="single" w:sz="6" w:space="0" w:color="auto"/>
                    <w:right w:val="single" w:sz="6" w:space="0" w:color="auto"/>
                    <w:tl2br w:val="nil"/>
                    <w:tr2bl w:val="nil"/>
                  </w:tcBorders>
                  <w:noWrap/>
                  <w:vAlign w:val="center"/>
                </w:tcPr>
                <w:p>
                  <w:pPr>
                    <w:jc w:val="center"/>
                  </w:pPr>
                  <w:r>
                    <w:rPr>
                      <w:rFonts w:ascii="宋体" w:eastAsia="宋体" w:cs="Arial"/>
                      <w:b/>
                      <w:i w:val="0"/>
                      <w:color w:val="000000"/>
                      <w:sz w:val="18"/>
                    </w:rPr>
                    <w:t>度量单位</w:t>
                  </w:r>
                </w:p>
              </w:tc>
              <w:tc>
                <w:tcPr>
                  <w:tcW w:w="900" w:type="dxa"/>
                  <w:tcBorders>
                    <w:top w:val="single" w:sz="6" w:space="0" w:color="auto"/>
                    <w:left w:val="single" w:sz="6" w:space="0" w:color="auto"/>
                    <w:bottom w:val="single" w:sz="6" w:space="0" w:color="auto"/>
                    <w:right w:val="single" w:sz="6" w:space="0" w:color="auto"/>
                    <w:tl2br w:val="nil"/>
                    <w:tr2bl w:val="nil"/>
                  </w:tcBorders>
                  <w:noWrap/>
                  <w:vAlign w:val="center"/>
                </w:tcPr>
                <w:p>
                  <w:pPr>
                    <w:jc w:val="center"/>
                  </w:pPr>
                  <w:r>
                    <w:rPr>
                      <w:rFonts w:ascii="宋体" w:eastAsia="宋体" w:cs="Arial"/>
                      <w:b/>
                      <w:i w:val="0"/>
                      <w:color w:val="000000"/>
                      <w:sz w:val="18"/>
                    </w:rPr>
                    <w:t>权重</w:t>
                  </w:r>
                </w:p>
              </w:tc>
              <w:tc>
                <w:tcPr>
                  <w:tcW w:w="1345" w:type="dxa"/>
                  <w:tcBorders>
                    <w:top w:val="single" w:sz="6" w:space="0" w:color="auto"/>
                    <w:left w:val="single" w:sz="6" w:space="0" w:color="auto"/>
                    <w:bottom w:val="single" w:sz="6" w:space="0" w:color="auto"/>
                    <w:right w:val="single" w:sz="6" w:space="0" w:color="auto"/>
                    <w:tl2br w:val="nil"/>
                    <w:tr2bl w:val="nil"/>
                  </w:tcBorders>
                  <w:noWrap/>
                  <w:vAlign w:val="center"/>
                </w:tcPr>
                <w:p>
                  <w:pPr>
                    <w:tabs>
                      <w:tab w:val="left" w:pos="1297"/>
                    </w:tabs>
                    <w:ind w:left="-107" w:right="29" w:hanging="12"/>
                    <w:jc w:val="center"/>
                  </w:pPr>
                  <w:r>
                    <w:rPr>
                      <w:rFonts w:ascii="宋体" w:eastAsia="宋体" w:cs="Arial"/>
                      <w:b/>
                      <w:i w:val="0"/>
                      <w:color w:val="000000"/>
                      <w:sz w:val="18"/>
                    </w:rPr>
                    <w:t>指标方向性</w:t>
                  </w:r>
                </w:p>
              </w:tc>
            </w:tr>
            <w:tr>
              <w:trPr>
                <w:trHeight w:val="479"/>
              </w:trPr>
              <w:tc>
                <w:tcPr>
                  <w:tcW w:w="756"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325903-广元石窟研究所</w:t>
                  </w:r>
                </w:p>
              </w:tc>
              <w:tc>
                <w:tcPr>
                  <w:tcW w:w="1007"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聘用人员经费</w:t>
                  </w:r>
                </w:p>
              </w:tc>
              <w:tc>
                <w:tcPr>
                  <w:tcW w:w="818"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150</w:t>
                  </w:r>
                </w:p>
              </w:tc>
              <w:tc>
                <w:tcPr>
                  <w:tcW w:w="1663"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皇泽寺、千佛崖、红军文化园所需讲解员，售票员，后勤人员等工资保险费用</w:t>
                  </w:r>
                </w:p>
              </w:tc>
              <w:tc>
                <w:tcPr>
                  <w:tcW w:w="1268" w:type="dxa"/>
                  <w:tcBorders>
                    <w:top w:val="single" w:sz="6" w:space="0" w:color="000000"/>
                    <w:left w:val="single" w:sz="6" w:space="0" w:color="000000"/>
                    <w:bottom w:val="nil"/>
                    <w:right w:val="single" w:sz="6" w:space="0" w:color="000000"/>
                    <w:tl2br w:val="nil"/>
                    <w:tr2bl w:val="nil"/>
                  </w:tcBorders>
                  <w:noWrap/>
                  <w:vAlign w:val="center"/>
                </w:tcPr>
                <w:p>
                  <w:r>
                    <w:rPr>
                      <w:rFonts w:ascii="宋体" w:eastAsia="宋体" w:cs="Arial"/>
                      <w:color w:val="000000"/>
                      <w:sz w:val="18"/>
                    </w:rPr>
                    <w:t>产出指标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数量指标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聘用人员人数</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 xml:space="preserve"> ≥ </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50</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人</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20.00%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nil"/>
                    <w:right w:val="single" w:sz="6" w:space="0" w:color="000000"/>
                    <w:tl2br w:val="nil"/>
                    <w:tr2bl w:val="nil"/>
                  </w:tcBorders>
                  <w:noWrap/>
                  <w:vAlign w:val="center"/>
                </w:tcPr>
                <w:p>
                  <w:r>
                    <w:rPr>
                      <w:rFonts w:ascii="宋体" w:eastAsia="宋体" w:cs="Arial"/>
                      <w:color w:val="000000"/>
                      <w:sz w:val="18"/>
                    </w:rPr>
                    <w:t>产出指标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质量指标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人员经费足额发放</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nil"/>
                    <w:right w:val="single" w:sz="6" w:space="0" w:color="000000"/>
                    <w:tl2br w:val="nil"/>
                    <w:tr2bl w:val="nil"/>
                  </w:tcBorders>
                  <w:noWrap/>
                  <w:vAlign w:val="center"/>
                </w:tcPr>
                <w:p>
                  <w:r>
                    <w:rPr>
                      <w:rFonts w:ascii="宋体" w:eastAsia="宋体" w:cs="Arial"/>
                      <w:color w:val="000000"/>
                      <w:sz w:val="18"/>
                    </w:rPr>
                    <w:t>产出指标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时效指标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人员经费及时到账率</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成本指标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经济成本指标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聘用人员经费总额</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150</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万元</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20.00%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等线" w:eastAsia="等线" w:cs="Arial"/>
                      <w:color w:val="000000"/>
                      <w:sz w:val="20"/>
                    </w:rPr>
                    <w:t>反向指标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效益指标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经济效益指标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非税收入总额</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 xml:space="preserve"> ≥ </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1800</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万元</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效益指标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社会效益指标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提升景区配套服务能力</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定性</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优</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 xml:space="preserve"> 级</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single" w:sz="6" w:space="0" w:color="000000"/>
                    <w:right w:val="single" w:sz="6" w:space="0" w:color="000000"/>
                    <w:tl2br w:val="nil"/>
                    <w:tr2bl w:val="nil"/>
                  </w:tcBorders>
                  <w:noWrap/>
                  <w:vAlign w:val="center"/>
                </w:tcPr>
                <w:p/>
              </w:tc>
              <w:tc>
                <w:tcPr>
                  <w:tcW w:w="1007" w:type="dxa"/>
                  <w:vMerge/>
                  <w:tcBorders>
                    <w:top w:val="nil"/>
                    <w:left w:val="single" w:sz="6" w:space="0" w:color="000000"/>
                    <w:bottom w:val="single" w:sz="6" w:space="0" w:color="000000"/>
                    <w:right w:val="single" w:sz="6" w:space="0" w:color="000000"/>
                    <w:tl2br w:val="nil"/>
                    <w:tr2bl w:val="nil"/>
                  </w:tcBorders>
                  <w:noWrap/>
                  <w:vAlign w:val="center"/>
                </w:tcPr>
                <w:p/>
              </w:tc>
              <w:tc>
                <w:tcPr>
                  <w:tcW w:w="818" w:type="dxa"/>
                  <w:vMerge/>
                  <w:tcBorders>
                    <w:top w:val="nil"/>
                    <w:left w:val="single" w:sz="6" w:space="0" w:color="000000"/>
                    <w:bottom w:val="single" w:sz="6" w:space="0" w:color="000000"/>
                    <w:right w:val="single" w:sz="6" w:space="0" w:color="000000"/>
                    <w:tl2br w:val="nil"/>
                    <w:tr2bl w:val="nil"/>
                  </w:tcBorders>
                  <w:noWrap/>
                  <w:vAlign w:val="center"/>
                </w:tcPr>
                <w:p/>
              </w:tc>
              <w:tc>
                <w:tcPr>
                  <w:tcW w:w="1663" w:type="dxa"/>
                  <w:vMerge/>
                  <w:tcBorders>
                    <w:top w:val="nil"/>
                    <w:left w:val="single" w:sz="6" w:space="0" w:color="000000"/>
                    <w:bottom w:val="single" w:sz="6" w:space="0" w:color="000000"/>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满意度指标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服务对象满意度指标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单位聘用职工满意度</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 xml:space="preserve"> ≥ </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90</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756"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325903-广元石窟研究所</w:t>
                  </w:r>
                </w:p>
              </w:tc>
              <w:tc>
                <w:tcPr>
                  <w:tcW w:w="1007"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乡村振兴帮扶工作经费</w:t>
                  </w:r>
                </w:p>
              </w:tc>
              <w:tc>
                <w:tcPr>
                  <w:tcW w:w="818"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3.64</w:t>
                  </w:r>
                </w:p>
              </w:tc>
              <w:tc>
                <w:tcPr>
                  <w:tcW w:w="1663"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完成政府要求的工作任务、保证乡村振兴工作顺利开展。</w:t>
                  </w: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产出指标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质量指标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帮扶干部工作经费保障率</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20.00%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产出指标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时效指标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实施时间</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年</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成本指标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经济成本指标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开展乡村振兴工作经费</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3.62</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万元</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20.00%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产出指标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数量指标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20"/>
                    </w:rPr>
                    <w:t>驻村人数</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20"/>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20"/>
                    </w:rPr>
                    <w:t>1</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20"/>
                    </w:rPr>
                    <w:t>人</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效益指标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社会效益指标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学农村收入提升</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定性</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优</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 xml:space="preserve"> 级</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20.00%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single" w:sz="6" w:space="0" w:color="000000"/>
                    <w:right w:val="single" w:sz="6" w:space="0" w:color="000000"/>
                    <w:tl2br w:val="nil"/>
                    <w:tr2bl w:val="nil"/>
                  </w:tcBorders>
                  <w:noWrap/>
                  <w:vAlign w:val="center"/>
                </w:tcPr>
                <w:p/>
              </w:tc>
              <w:tc>
                <w:tcPr>
                  <w:tcW w:w="1007" w:type="dxa"/>
                  <w:vMerge/>
                  <w:tcBorders>
                    <w:top w:val="nil"/>
                    <w:left w:val="single" w:sz="6" w:space="0" w:color="000000"/>
                    <w:bottom w:val="single" w:sz="6" w:space="0" w:color="000000"/>
                    <w:right w:val="single" w:sz="6" w:space="0" w:color="000000"/>
                    <w:tl2br w:val="nil"/>
                    <w:tr2bl w:val="nil"/>
                  </w:tcBorders>
                  <w:noWrap/>
                  <w:vAlign w:val="center"/>
                </w:tcPr>
                <w:p/>
              </w:tc>
              <w:tc>
                <w:tcPr>
                  <w:tcW w:w="818" w:type="dxa"/>
                  <w:vMerge/>
                  <w:tcBorders>
                    <w:top w:val="nil"/>
                    <w:left w:val="single" w:sz="6" w:space="0" w:color="000000"/>
                    <w:bottom w:val="single" w:sz="6" w:space="0" w:color="000000"/>
                    <w:right w:val="single" w:sz="6" w:space="0" w:color="000000"/>
                    <w:tl2br w:val="nil"/>
                    <w:tr2bl w:val="nil"/>
                  </w:tcBorders>
                  <w:noWrap/>
                  <w:vAlign w:val="center"/>
                </w:tcPr>
                <w:p/>
              </w:tc>
              <w:tc>
                <w:tcPr>
                  <w:tcW w:w="1663" w:type="dxa"/>
                  <w:vMerge/>
                  <w:tcBorders>
                    <w:top w:val="nil"/>
                    <w:left w:val="single" w:sz="6" w:space="0" w:color="000000"/>
                    <w:bottom w:val="single" w:sz="6" w:space="0" w:color="000000"/>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满意度指标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帮扶对象满意度指标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帮扶对象满意度</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90</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756"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325903-广元石窟研究所</w:t>
                  </w:r>
                </w:p>
              </w:tc>
              <w:tc>
                <w:tcPr>
                  <w:tcW w:w="1007"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安防经费</w:t>
                  </w:r>
                </w:p>
              </w:tc>
              <w:tc>
                <w:tcPr>
                  <w:tcW w:w="818"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176</w:t>
                  </w:r>
                </w:p>
              </w:tc>
              <w:tc>
                <w:tcPr>
                  <w:tcW w:w="1663"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含景区整体安防所需维护经费及人员经费。项目将进一步提升安防硬件设施；强化安保能力，保证景区文物及人员安全</w:t>
                  </w: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产出指标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数量指标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增加安全防范监控系统监控处数</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处</w:t>
                  </w:r>
                </w:p>
              </w:tc>
              <w:tc>
                <w:tcPr>
                  <w:tcW w:w="900" w:type="dxa"/>
                  <w:tcBorders>
                    <w:top w:val="single" w:sz="6" w:space="0" w:color="000000"/>
                    <w:left w:val="single" w:sz="6" w:space="0" w:color="000000"/>
                    <w:bottom w:val="single" w:sz="6" w:space="0" w:color="000000"/>
                    <w:right w:val="nil"/>
                    <w:tl2br w:val="nil"/>
                    <w:tr2bl w:val="nil"/>
                  </w:tcBorders>
                  <w:noWrap/>
                  <w:vAlign w:val="center"/>
                </w:tcPr>
                <w:p>
                  <w:pPr>
                    <w:jc w:val="center"/>
                  </w:pPr>
                  <w:r>
                    <w:rPr>
                      <w:rFonts w:ascii="宋体" w:eastAsia="宋体" w:cs="Arial"/>
                      <w:color w:val="000000"/>
                      <w:sz w:val="18"/>
                    </w:rPr>
                    <w:t>20.00%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产出指标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质量指标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安防经费保障率</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900" w:type="dxa"/>
                  <w:tcBorders>
                    <w:top w:val="single" w:sz="6" w:space="0" w:color="000000"/>
                    <w:left w:val="single" w:sz="6" w:space="0" w:color="000000"/>
                    <w:bottom w:val="single" w:sz="6" w:space="0" w:color="000000"/>
                    <w:right w:val="nil"/>
                    <w:tl2br w:val="nil"/>
                    <w:tr2bl w:val="nil"/>
                  </w:tcBorders>
                  <w:noWrap/>
                  <w:vAlign w:val="center"/>
                </w:tcPr>
                <w:p>
                  <w:pPr>
                    <w:jc w:val="center"/>
                  </w:pPr>
                  <w:r>
                    <w:rPr>
                      <w:rFonts w:ascii="宋体" w:eastAsia="宋体" w:cs="Arial"/>
                      <w:color w:val="000000"/>
                      <w:sz w:val="18"/>
                    </w:rPr>
                    <w:t>10.00%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产出指标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时效指标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等线" w:eastAsia="等线" w:cs="Arial"/>
                      <w:color w:val="000000"/>
                      <w:sz w:val="18"/>
                    </w:rPr>
                    <w:t>年度目标完成时间</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年</w:t>
                  </w:r>
                </w:p>
              </w:tc>
              <w:tc>
                <w:tcPr>
                  <w:tcW w:w="900" w:type="dxa"/>
                  <w:tcBorders>
                    <w:top w:val="single" w:sz="6" w:space="0" w:color="000000"/>
                    <w:left w:val="single" w:sz="6" w:space="0" w:color="000000"/>
                    <w:bottom w:val="single" w:sz="6" w:space="0" w:color="000000"/>
                    <w:right w:val="nil"/>
                    <w:tl2br w:val="nil"/>
                    <w:tr2bl w:val="nil"/>
                  </w:tcBorders>
                  <w:noWrap/>
                  <w:vAlign w:val="center"/>
                </w:tcPr>
                <w:p>
                  <w:pPr>
                    <w:jc w:val="center"/>
                  </w:pPr>
                  <w:r>
                    <w:rPr>
                      <w:rFonts w:ascii="宋体" w:eastAsia="宋体" w:cs="Arial"/>
                      <w:color w:val="000000"/>
                      <w:sz w:val="18"/>
                    </w:rPr>
                    <w:t>10.00%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成本指标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经济成本指标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安防经费总额</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176</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万</w:t>
                  </w:r>
                </w:p>
              </w:tc>
              <w:tc>
                <w:tcPr>
                  <w:tcW w:w="900" w:type="dxa"/>
                  <w:tcBorders>
                    <w:top w:val="single" w:sz="6" w:space="0" w:color="000000"/>
                    <w:left w:val="single" w:sz="6" w:space="0" w:color="000000"/>
                    <w:bottom w:val="single" w:sz="6" w:space="0" w:color="000000"/>
                    <w:right w:val="nil"/>
                    <w:tl2br w:val="nil"/>
                    <w:tr2bl w:val="nil"/>
                  </w:tcBorders>
                  <w:noWrap/>
                  <w:vAlign w:val="center"/>
                </w:tcPr>
                <w:p>
                  <w:pPr>
                    <w:jc w:val="center"/>
                  </w:pPr>
                  <w:r>
                    <w:rPr>
                      <w:rFonts w:ascii="宋体" w:eastAsia="宋体" w:cs="Arial"/>
                      <w:color w:val="000000"/>
                      <w:sz w:val="18"/>
                    </w:rPr>
                    <w:t>20.00%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等线" w:eastAsia="等线" w:cs="Arial"/>
                      <w:color w:val="000000"/>
                      <w:sz w:val="20"/>
                    </w:rPr>
                    <w:t>反向指标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效益指标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社会效益指标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保护环境及文物</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定性</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优</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级</w:t>
                  </w:r>
                </w:p>
              </w:tc>
              <w:tc>
                <w:tcPr>
                  <w:tcW w:w="900" w:type="dxa"/>
                  <w:tcBorders>
                    <w:top w:val="single" w:sz="6" w:space="0" w:color="000000"/>
                    <w:left w:val="single" w:sz="6" w:space="0" w:color="000000"/>
                    <w:bottom w:val="single" w:sz="6" w:space="0" w:color="000000"/>
                    <w:right w:val="nil"/>
                    <w:tl2br w:val="nil"/>
                    <w:tr2bl w:val="nil"/>
                  </w:tcBorders>
                  <w:noWrap/>
                  <w:vAlign w:val="center"/>
                </w:tcPr>
                <w:p>
                  <w:pPr>
                    <w:jc w:val="center"/>
                  </w:pPr>
                  <w:r>
                    <w:rPr>
                      <w:rFonts w:ascii="宋体" w:eastAsia="宋体" w:cs="Arial"/>
                      <w:color w:val="000000"/>
                      <w:sz w:val="18"/>
                    </w:rPr>
                    <w:t>20.00%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single" w:sz="6" w:space="0" w:color="000000"/>
                    <w:right w:val="single" w:sz="6" w:space="0" w:color="000000"/>
                    <w:tl2br w:val="nil"/>
                    <w:tr2bl w:val="nil"/>
                  </w:tcBorders>
                  <w:noWrap/>
                  <w:vAlign w:val="center"/>
                </w:tcPr>
                <w:p/>
              </w:tc>
              <w:tc>
                <w:tcPr>
                  <w:tcW w:w="1007" w:type="dxa"/>
                  <w:vMerge/>
                  <w:tcBorders>
                    <w:top w:val="nil"/>
                    <w:left w:val="single" w:sz="6" w:space="0" w:color="000000"/>
                    <w:bottom w:val="single" w:sz="6" w:space="0" w:color="000000"/>
                    <w:right w:val="single" w:sz="6" w:space="0" w:color="000000"/>
                    <w:tl2br w:val="nil"/>
                    <w:tr2bl w:val="nil"/>
                  </w:tcBorders>
                  <w:noWrap/>
                  <w:vAlign w:val="center"/>
                </w:tcPr>
                <w:p/>
              </w:tc>
              <w:tc>
                <w:tcPr>
                  <w:tcW w:w="818" w:type="dxa"/>
                  <w:vMerge/>
                  <w:tcBorders>
                    <w:top w:val="nil"/>
                    <w:left w:val="single" w:sz="6" w:space="0" w:color="000000"/>
                    <w:bottom w:val="single" w:sz="6" w:space="0" w:color="000000"/>
                    <w:right w:val="single" w:sz="6" w:space="0" w:color="000000"/>
                    <w:tl2br w:val="nil"/>
                    <w:tr2bl w:val="nil"/>
                  </w:tcBorders>
                  <w:noWrap/>
                  <w:vAlign w:val="center"/>
                </w:tcPr>
                <w:p/>
              </w:tc>
              <w:tc>
                <w:tcPr>
                  <w:tcW w:w="1663" w:type="dxa"/>
                  <w:vMerge/>
                  <w:tcBorders>
                    <w:top w:val="nil"/>
                    <w:left w:val="single" w:sz="6" w:space="0" w:color="000000"/>
                    <w:bottom w:val="single" w:sz="6" w:space="0" w:color="000000"/>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满意度指标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服务对象满意度指标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游客针对安防方面满意度</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90</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900" w:type="dxa"/>
                  <w:tcBorders>
                    <w:top w:val="single" w:sz="6" w:space="0" w:color="000000"/>
                    <w:left w:val="single" w:sz="6" w:space="0" w:color="000000"/>
                    <w:bottom w:val="single" w:sz="6" w:space="0" w:color="000000"/>
                    <w:right w:val="nil"/>
                    <w:tl2br w:val="nil"/>
                    <w:tr2bl w:val="nil"/>
                  </w:tcBorders>
                  <w:noWrap/>
                  <w:vAlign w:val="center"/>
                </w:tcPr>
                <w:p>
                  <w:pPr>
                    <w:jc w:val="center"/>
                  </w:pPr>
                  <w:r>
                    <w:rPr>
                      <w:rFonts w:ascii="宋体" w:eastAsia="宋体" w:cs="Arial"/>
                      <w:color w:val="000000"/>
                      <w:sz w:val="18"/>
                    </w:rPr>
                    <w:t>10.00%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756"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325903-广元石窟研究所</w:t>
                  </w:r>
                </w:p>
              </w:tc>
              <w:tc>
                <w:tcPr>
                  <w:tcW w:w="1007"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宣传经费</w:t>
                  </w:r>
                </w:p>
              </w:tc>
              <w:tc>
                <w:tcPr>
                  <w:tcW w:w="818"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25</w:t>
                  </w:r>
                </w:p>
              </w:tc>
              <w:tc>
                <w:tcPr>
                  <w:tcW w:w="1663" w:type="dxa"/>
                  <w:vMerge w:val="restart"/>
                  <w:tcBorders>
                    <w:top w:val="single" w:sz="6" w:space="0" w:color="000000"/>
                    <w:left w:val="single" w:sz="6" w:space="0" w:color="000000"/>
                    <w:bottom w:val="nil"/>
                    <w:right w:val="single" w:sz="6" w:space="0" w:color="000000"/>
                    <w:tl2br w:val="nil"/>
                    <w:tr2bl w:val="nil"/>
                  </w:tcBorders>
                  <w:noWrap/>
                  <w:vAlign w:val="center"/>
                </w:tcPr>
                <w:p>
                  <w:r>
                    <w:rPr>
                      <w:rFonts w:ascii="宋体" w:eastAsia="宋体" w:cs="Arial"/>
                      <w:color w:val="000000"/>
                      <w:sz w:val="18"/>
                    </w:rPr>
                    <w:t>解说员工资及五险；提升景区宣传册、宣传折页等日常宣传资料、宣传资料耗材等费用:“两微一抖”、手机电视台等新媒体宣传媒介等传统媒介宣传推广费用，两馆节假日演出表演。 研学教程及资料开发印制:门票印制购买费用、会务费、展板制作。</w:t>
                  </w: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产出指标</w:t>
                  </w:r>
                </w:p>
              </w:tc>
              <w:tc>
                <w:tcPr>
                  <w:tcW w:w="1200" w:type="dxa"/>
                  <w:tcBorders>
                    <w:top w:val="single" w:sz="6" w:space="0" w:color="000000"/>
                    <w:left w:val="nil"/>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数量指标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宣传次数</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24</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次</w:t>
                  </w:r>
                </w:p>
              </w:tc>
              <w:tc>
                <w:tcPr>
                  <w:tcW w:w="900" w:type="dxa"/>
                  <w:tcBorders>
                    <w:top w:val="single" w:sz="6" w:space="0" w:color="000000"/>
                    <w:left w:val="single" w:sz="6" w:space="0" w:color="000000"/>
                    <w:bottom w:val="single" w:sz="6" w:space="0" w:color="000000"/>
                    <w:right w:val="nil"/>
                    <w:tl2br w:val="nil"/>
                    <w:tr2bl w:val="nil"/>
                  </w:tcBorders>
                  <w:noWrap/>
                  <w:vAlign w:val="center"/>
                </w:tcPr>
                <w:p>
                  <w:pPr>
                    <w:jc w:val="center"/>
                  </w:pPr>
                  <w:r>
                    <w:rPr>
                      <w:rFonts w:ascii="宋体" w:eastAsia="宋体" w:cs="Arial"/>
                      <w:color w:val="000000"/>
                      <w:sz w:val="18"/>
                    </w:rPr>
                    <w:t>10.00%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产出指标</w:t>
                  </w:r>
                </w:p>
              </w:tc>
              <w:tc>
                <w:tcPr>
                  <w:tcW w:w="1200" w:type="dxa"/>
                  <w:tcBorders>
                    <w:top w:val="single" w:sz="6" w:space="0" w:color="000000"/>
                    <w:left w:val="nil"/>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质量指标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门票收入增长率</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20</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900" w:type="dxa"/>
                  <w:tcBorders>
                    <w:top w:val="single" w:sz="6" w:space="0" w:color="000000"/>
                    <w:left w:val="single" w:sz="6" w:space="0" w:color="000000"/>
                    <w:bottom w:val="single" w:sz="6" w:space="0" w:color="000000"/>
                    <w:right w:val="nil"/>
                    <w:tl2br w:val="nil"/>
                    <w:tr2bl w:val="nil"/>
                  </w:tcBorders>
                  <w:noWrap/>
                  <w:vAlign w:val="center"/>
                </w:tcPr>
                <w:p>
                  <w:pPr>
                    <w:jc w:val="center"/>
                  </w:pPr>
                  <w:r>
                    <w:rPr>
                      <w:rFonts w:ascii="宋体" w:eastAsia="宋体" w:cs="Arial"/>
                      <w:color w:val="000000"/>
                      <w:sz w:val="18"/>
                    </w:rPr>
                    <w:t>10.00%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产出指标</w:t>
                  </w:r>
                </w:p>
              </w:tc>
              <w:tc>
                <w:tcPr>
                  <w:tcW w:w="1200" w:type="dxa"/>
                  <w:tcBorders>
                    <w:top w:val="single" w:sz="6" w:space="0" w:color="000000"/>
                    <w:left w:val="nil"/>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时效指标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实施时间</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年</w:t>
                  </w:r>
                </w:p>
              </w:tc>
              <w:tc>
                <w:tcPr>
                  <w:tcW w:w="900" w:type="dxa"/>
                  <w:tcBorders>
                    <w:top w:val="single" w:sz="6" w:space="0" w:color="000000"/>
                    <w:left w:val="single" w:sz="6" w:space="0" w:color="000000"/>
                    <w:bottom w:val="single" w:sz="6" w:space="0" w:color="000000"/>
                    <w:right w:val="nil"/>
                    <w:tl2br w:val="nil"/>
                    <w:tr2bl w:val="nil"/>
                  </w:tcBorders>
                  <w:noWrap/>
                  <w:vAlign w:val="center"/>
                </w:tcPr>
                <w:p>
                  <w:pPr>
                    <w:jc w:val="center"/>
                  </w:pPr>
                  <w:r>
                    <w:rPr>
                      <w:rFonts w:ascii="宋体" w:eastAsia="宋体" w:cs="Arial"/>
                      <w:color w:val="000000"/>
                      <w:sz w:val="18"/>
                    </w:rPr>
                    <w:t>20.00%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成本指标</w:t>
                  </w:r>
                </w:p>
              </w:tc>
              <w:tc>
                <w:tcPr>
                  <w:tcW w:w="1200" w:type="dxa"/>
                  <w:tcBorders>
                    <w:top w:val="single" w:sz="6" w:space="0" w:color="000000"/>
                    <w:left w:val="nil"/>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经济成本指标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宣传经费总额</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25</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万元</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20.00%</w:t>
                  </w:r>
                </w:p>
              </w:tc>
              <w:tc>
                <w:tcPr>
                  <w:tcW w:w="1345" w:type="dxa"/>
                  <w:tcBorders>
                    <w:top w:val="nil"/>
                    <w:left w:val="single" w:sz="6" w:space="0" w:color="000000"/>
                    <w:bottom w:val="single" w:sz="6" w:space="0" w:color="000000"/>
                    <w:right w:val="single" w:sz="6" w:space="0" w:color="000000"/>
                    <w:tl2br w:val="nil"/>
                    <w:tr2bl w:val="nil"/>
                  </w:tcBorders>
                  <w:noWrap/>
                  <w:vAlign w:val="center"/>
                </w:tcPr>
                <w:p>
                  <w:pPr>
                    <w:ind w:right="29"/>
                    <w:jc w:val="center"/>
                  </w:pPr>
                  <w:r>
                    <w:rPr>
                      <w:rFonts w:ascii="等线" w:eastAsia="等线" w:cs="Arial"/>
                      <w:color w:val="000000"/>
                      <w:sz w:val="20"/>
                    </w:rPr>
                    <w:t>反向指标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效益指标</w:t>
                  </w:r>
                </w:p>
              </w:tc>
              <w:tc>
                <w:tcPr>
                  <w:tcW w:w="1200" w:type="dxa"/>
                  <w:tcBorders>
                    <w:top w:val="single" w:sz="6" w:space="0" w:color="000000"/>
                    <w:left w:val="nil"/>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社会效益指标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广元城市、文物保护宣传</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定性</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优</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级</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20.00%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single" w:sz="6" w:space="0" w:color="000000"/>
                    <w:right w:val="single" w:sz="6" w:space="0" w:color="000000"/>
                    <w:tl2br w:val="nil"/>
                    <w:tr2bl w:val="nil"/>
                  </w:tcBorders>
                  <w:noWrap/>
                  <w:vAlign w:val="center"/>
                </w:tcPr>
                <w:p/>
              </w:tc>
              <w:tc>
                <w:tcPr>
                  <w:tcW w:w="1007" w:type="dxa"/>
                  <w:vMerge/>
                  <w:tcBorders>
                    <w:top w:val="nil"/>
                    <w:left w:val="single" w:sz="6" w:space="0" w:color="000000"/>
                    <w:bottom w:val="single" w:sz="6" w:space="0" w:color="000000"/>
                    <w:right w:val="single" w:sz="6" w:space="0" w:color="000000"/>
                    <w:tl2br w:val="nil"/>
                    <w:tr2bl w:val="nil"/>
                  </w:tcBorders>
                  <w:noWrap/>
                  <w:vAlign w:val="center"/>
                </w:tcPr>
                <w:p/>
              </w:tc>
              <w:tc>
                <w:tcPr>
                  <w:tcW w:w="818" w:type="dxa"/>
                  <w:vMerge/>
                  <w:tcBorders>
                    <w:top w:val="nil"/>
                    <w:left w:val="single" w:sz="6" w:space="0" w:color="000000"/>
                    <w:bottom w:val="single" w:sz="6" w:space="0" w:color="000000"/>
                    <w:right w:val="single" w:sz="6" w:space="0" w:color="000000"/>
                    <w:tl2br w:val="nil"/>
                    <w:tr2bl w:val="nil"/>
                  </w:tcBorders>
                  <w:noWrap/>
                  <w:vAlign w:val="center"/>
                </w:tcPr>
                <w:p/>
              </w:tc>
              <w:tc>
                <w:tcPr>
                  <w:tcW w:w="1663" w:type="dxa"/>
                  <w:vMerge/>
                  <w:tcBorders>
                    <w:top w:val="nil"/>
                    <w:left w:val="single" w:sz="6" w:space="0" w:color="000000"/>
                    <w:bottom w:val="single" w:sz="6" w:space="0" w:color="000000"/>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满意度指标</w:t>
                  </w:r>
                </w:p>
              </w:tc>
              <w:tc>
                <w:tcPr>
                  <w:tcW w:w="1200" w:type="dxa"/>
                  <w:tcBorders>
                    <w:top w:val="single" w:sz="6" w:space="0" w:color="000000"/>
                    <w:left w:val="nil"/>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服务对象满意度指标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游客针对讲解员服务满意度</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90</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756"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325903-广元石窟研究所</w:t>
                  </w:r>
                </w:p>
              </w:tc>
              <w:tc>
                <w:tcPr>
                  <w:tcW w:w="1007"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绿化及卫生费</w:t>
                  </w:r>
                </w:p>
              </w:tc>
              <w:tc>
                <w:tcPr>
                  <w:tcW w:w="818"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125.3</w:t>
                  </w:r>
                </w:p>
              </w:tc>
              <w:tc>
                <w:tcPr>
                  <w:tcW w:w="1663"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 xml:space="preserve"> 根据《中共广元市委机构编制委员会办公室关于旅游服务中心等事业单位更名及职责界定有关事项的通知》，(广编办发[2020]49号)文件精神。三景区卫生日常养护费用、绿化养护费用。</w:t>
                  </w: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产出指标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数量指标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完成全年绿化养护面积</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500</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亩</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20.00%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产出指标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质量指标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经费保障率</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产出指标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时效指标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实施时间</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年</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成本指标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经济成本指标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绿化卫生经费总额</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125.3</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万</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20.00%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等线" w:eastAsia="等线" w:cs="Arial"/>
                      <w:color w:val="000000"/>
                      <w:sz w:val="20"/>
                    </w:rPr>
                    <w:t>反向指标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效益指标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生态效益指标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景区绿化覆盖率</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60</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20.00%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single" w:sz="6" w:space="0" w:color="000000"/>
                    <w:right w:val="single" w:sz="6" w:space="0" w:color="000000"/>
                    <w:tl2br w:val="nil"/>
                    <w:tr2bl w:val="nil"/>
                  </w:tcBorders>
                  <w:noWrap/>
                  <w:vAlign w:val="center"/>
                </w:tcPr>
                <w:p/>
              </w:tc>
              <w:tc>
                <w:tcPr>
                  <w:tcW w:w="1007" w:type="dxa"/>
                  <w:vMerge/>
                  <w:tcBorders>
                    <w:top w:val="nil"/>
                    <w:left w:val="single" w:sz="6" w:space="0" w:color="000000"/>
                    <w:bottom w:val="single" w:sz="6" w:space="0" w:color="000000"/>
                    <w:right w:val="single" w:sz="6" w:space="0" w:color="000000"/>
                    <w:tl2br w:val="nil"/>
                    <w:tr2bl w:val="nil"/>
                  </w:tcBorders>
                  <w:noWrap/>
                  <w:vAlign w:val="center"/>
                </w:tcPr>
                <w:p/>
              </w:tc>
              <w:tc>
                <w:tcPr>
                  <w:tcW w:w="818" w:type="dxa"/>
                  <w:vMerge/>
                  <w:tcBorders>
                    <w:top w:val="nil"/>
                    <w:left w:val="single" w:sz="6" w:space="0" w:color="000000"/>
                    <w:bottom w:val="single" w:sz="6" w:space="0" w:color="000000"/>
                    <w:right w:val="single" w:sz="6" w:space="0" w:color="000000"/>
                    <w:tl2br w:val="nil"/>
                    <w:tr2bl w:val="nil"/>
                  </w:tcBorders>
                  <w:noWrap/>
                  <w:vAlign w:val="center"/>
                </w:tcPr>
                <w:p/>
              </w:tc>
              <w:tc>
                <w:tcPr>
                  <w:tcW w:w="1663" w:type="dxa"/>
                  <w:vMerge/>
                  <w:tcBorders>
                    <w:top w:val="nil"/>
                    <w:left w:val="single" w:sz="6" w:space="0" w:color="000000"/>
                    <w:bottom w:val="single" w:sz="6" w:space="0" w:color="000000"/>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满意度指标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服务对象满意度指标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游客针对绿化满意度</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90</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756"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325903-广元石窟研究所</w:t>
                  </w:r>
                </w:p>
              </w:tc>
              <w:tc>
                <w:tcPr>
                  <w:tcW w:w="1007"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文物保护费</w:t>
                  </w:r>
                </w:p>
              </w:tc>
              <w:tc>
                <w:tcPr>
                  <w:tcW w:w="818"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30</w:t>
                  </w:r>
                </w:p>
              </w:tc>
              <w:tc>
                <w:tcPr>
                  <w:tcW w:w="1663"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制定文物本体的维修措施和实施计划，完善防护工程，引导文物保护发展方向和途径。</w:t>
                  </w: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产出指标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数量指标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文物保护区面积</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300</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亩</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20.00%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产出指标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质量指标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经费保障率</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产出指标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时效指标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实施时间</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年</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成本指标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经济成本指标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文物保护修缮经费总额</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30</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万元</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20.00%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等线" w:eastAsia="等线" w:cs="Arial"/>
                      <w:color w:val="000000"/>
                      <w:sz w:val="20"/>
                    </w:rPr>
                    <w:t>反向指标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效益指标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社会效益指标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带动地方文旅发展</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定性</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优</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级</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20.00%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single" w:sz="6" w:space="0" w:color="000000"/>
                    <w:right w:val="single" w:sz="6" w:space="0" w:color="000000"/>
                    <w:tl2br w:val="nil"/>
                    <w:tr2bl w:val="nil"/>
                  </w:tcBorders>
                  <w:noWrap/>
                  <w:vAlign w:val="center"/>
                </w:tcPr>
                <w:p/>
              </w:tc>
              <w:tc>
                <w:tcPr>
                  <w:tcW w:w="1007" w:type="dxa"/>
                  <w:vMerge/>
                  <w:tcBorders>
                    <w:top w:val="nil"/>
                    <w:left w:val="single" w:sz="6" w:space="0" w:color="000000"/>
                    <w:bottom w:val="single" w:sz="6" w:space="0" w:color="000000"/>
                    <w:right w:val="single" w:sz="6" w:space="0" w:color="000000"/>
                    <w:tl2br w:val="nil"/>
                    <w:tr2bl w:val="nil"/>
                  </w:tcBorders>
                  <w:noWrap/>
                  <w:vAlign w:val="center"/>
                </w:tcPr>
                <w:p/>
              </w:tc>
              <w:tc>
                <w:tcPr>
                  <w:tcW w:w="818" w:type="dxa"/>
                  <w:vMerge/>
                  <w:tcBorders>
                    <w:top w:val="nil"/>
                    <w:left w:val="single" w:sz="6" w:space="0" w:color="000000"/>
                    <w:bottom w:val="single" w:sz="6" w:space="0" w:color="000000"/>
                    <w:right w:val="single" w:sz="6" w:space="0" w:color="000000"/>
                    <w:tl2br w:val="nil"/>
                    <w:tr2bl w:val="nil"/>
                  </w:tcBorders>
                  <w:noWrap/>
                  <w:vAlign w:val="center"/>
                </w:tcPr>
                <w:p/>
              </w:tc>
              <w:tc>
                <w:tcPr>
                  <w:tcW w:w="1663" w:type="dxa"/>
                  <w:vMerge/>
                  <w:tcBorders>
                    <w:top w:val="nil"/>
                    <w:left w:val="single" w:sz="6" w:space="0" w:color="000000"/>
                    <w:bottom w:val="single" w:sz="6" w:space="0" w:color="000000"/>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满意度指标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服务对象满意度指标搜</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游客满意度</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90</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756"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325903-广元石窟研究所</w:t>
                  </w:r>
                </w:p>
              </w:tc>
              <w:tc>
                <w:tcPr>
                  <w:tcW w:w="1007"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信息化建设</w:t>
                  </w:r>
                </w:p>
              </w:tc>
              <w:tc>
                <w:tcPr>
                  <w:tcW w:w="818"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40</w:t>
                  </w:r>
                </w:p>
              </w:tc>
              <w:tc>
                <w:tcPr>
                  <w:tcW w:w="1663"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根据（广文旅产领办发［2014]14号文件）、《广元市文化和旅游产业领导小组办公室关于评选第一批广元市智慧旅游示范景区和第一批广元市研学旅行示范基地的通知》精神。四川省文化和旅游厅、四川省经济和信息厅《关于推动全省文化和旅游新型基础设施建设的通知》文件精神。</w:t>
                  </w: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产出指标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数量指标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信息化建设配套点位处数</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3</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处</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20.00%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产出指标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质量指标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经费保障率</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产出指标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时效指标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实施时间</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年</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成本指标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经济成本指标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信息化建设整体支出</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40</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万元</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20.00%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等线" w:eastAsia="等线" w:cs="Arial"/>
                      <w:color w:val="000000"/>
                      <w:sz w:val="20"/>
                    </w:rPr>
                    <w:t>反向指标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效益指标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社会效益指标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数字化信息化发展</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定性</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优</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级</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20.00%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single" w:sz="6" w:space="0" w:color="000000"/>
                    <w:right w:val="single" w:sz="6" w:space="0" w:color="000000"/>
                    <w:tl2br w:val="nil"/>
                    <w:tr2bl w:val="nil"/>
                  </w:tcBorders>
                  <w:noWrap/>
                  <w:vAlign w:val="center"/>
                </w:tcPr>
                <w:p/>
              </w:tc>
              <w:tc>
                <w:tcPr>
                  <w:tcW w:w="1007" w:type="dxa"/>
                  <w:vMerge/>
                  <w:tcBorders>
                    <w:top w:val="nil"/>
                    <w:left w:val="single" w:sz="6" w:space="0" w:color="000000"/>
                    <w:bottom w:val="single" w:sz="6" w:space="0" w:color="000000"/>
                    <w:right w:val="single" w:sz="6" w:space="0" w:color="000000"/>
                    <w:tl2br w:val="nil"/>
                    <w:tr2bl w:val="nil"/>
                  </w:tcBorders>
                  <w:noWrap/>
                  <w:vAlign w:val="center"/>
                </w:tcPr>
                <w:p/>
              </w:tc>
              <w:tc>
                <w:tcPr>
                  <w:tcW w:w="818" w:type="dxa"/>
                  <w:vMerge/>
                  <w:tcBorders>
                    <w:top w:val="nil"/>
                    <w:left w:val="single" w:sz="6" w:space="0" w:color="000000"/>
                    <w:bottom w:val="single" w:sz="6" w:space="0" w:color="000000"/>
                    <w:right w:val="single" w:sz="6" w:space="0" w:color="000000"/>
                    <w:tl2br w:val="nil"/>
                    <w:tr2bl w:val="nil"/>
                  </w:tcBorders>
                  <w:noWrap/>
                  <w:vAlign w:val="center"/>
                </w:tcPr>
                <w:p/>
              </w:tc>
              <w:tc>
                <w:tcPr>
                  <w:tcW w:w="1663" w:type="dxa"/>
                  <w:vMerge/>
                  <w:tcBorders>
                    <w:top w:val="nil"/>
                    <w:left w:val="single" w:sz="6" w:space="0" w:color="000000"/>
                    <w:bottom w:val="single" w:sz="6" w:space="0" w:color="000000"/>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满意度指标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满意度指指标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社会公众对项目实施效果满意度</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90</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756"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325903-广元石窟研究所</w:t>
                  </w:r>
                </w:p>
              </w:tc>
              <w:tc>
                <w:tcPr>
                  <w:tcW w:w="1007"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景区运营维护费</w:t>
                  </w:r>
                </w:p>
              </w:tc>
              <w:tc>
                <w:tcPr>
                  <w:tcW w:w="818"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162.7</w:t>
                  </w:r>
                </w:p>
              </w:tc>
              <w:tc>
                <w:tcPr>
                  <w:tcW w:w="1663"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皇泽寺、千佛崖、红军文化园景区内维修维护费，日常运转费，水电费等</w:t>
                  </w: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产出指标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数量指标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景区维护点位处数</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3</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处</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20.00%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产出指标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质量指标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经费保障率</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产出指标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时效指标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实施时间</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年</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成本指标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经济成本指标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景区运行维护费总额</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162.7</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万元</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20.00%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等线" w:eastAsia="等线" w:cs="Arial"/>
                      <w:color w:val="000000"/>
                      <w:sz w:val="20"/>
                    </w:rPr>
                    <w:t>反向指标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效益指标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社会效益指标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带动地方文旅发展</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定性</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优</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 xml:space="preserve"> 级</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20.00%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single" w:sz="6" w:space="0" w:color="000000"/>
                    <w:right w:val="single" w:sz="6" w:space="0" w:color="000000"/>
                    <w:tl2br w:val="nil"/>
                    <w:tr2bl w:val="nil"/>
                  </w:tcBorders>
                  <w:noWrap/>
                  <w:vAlign w:val="center"/>
                </w:tcPr>
                <w:p/>
              </w:tc>
              <w:tc>
                <w:tcPr>
                  <w:tcW w:w="1007" w:type="dxa"/>
                  <w:vMerge/>
                  <w:tcBorders>
                    <w:top w:val="nil"/>
                    <w:left w:val="single" w:sz="6" w:space="0" w:color="000000"/>
                    <w:bottom w:val="single" w:sz="6" w:space="0" w:color="000000"/>
                    <w:right w:val="single" w:sz="6" w:space="0" w:color="000000"/>
                    <w:tl2br w:val="nil"/>
                    <w:tr2bl w:val="nil"/>
                  </w:tcBorders>
                  <w:noWrap/>
                  <w:vAlign w:val="center"/>
                </w:tcPr>
                <w:p/>
              </w:tc>
              <w:tc>
                <w:tcPr>
                  <w:tcW w:w="818" w:type="dxa"/>
                  <w:vMerge/>
                  <w:tcBorders>
                    <w:top w:val="nil"/>
                    <w:left w:val="single" w:sz="6" w:space="0" w:color="000000"/>
                    <w:bottom w:val="single" w:sz="6" w:space="0" w:color="000000"/>
                    <w:right w:val="single" w:sz="6" w:space="0" w:color="000000"/>
                    <w:tl2br w:val="nil"/>
                    <w:tr2bl w:val="nil"/>
                  </w:tcBorders>
                  <w:noWrap/>
                  <w:vAlign w:val="center"/>
                </w:tcPr>
                <w:p/>
              </w:tc>
              <w:tc>
                <w:tcPr>
                  <w:tcW w:w="1663" w:type="dxa"/>
                  <w:vMerge/>
                  <w:tcBorders>
                    <w:top w:val="nil"/>
                    <w:left w:val="single" w:sz="6" w:space="0" w:color="000000"/>
                    <w:bottom w:val="single" w:sz="6" w:space="0" w:color="000000"/>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满意度指标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服务对象满意度指标搜</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游客满意度指标</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90</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756"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325903-广元石窟研究所</w:t>
                  </w:r>
                </w:p>
              </w:tc>
              <w:tc>
                <w:tcPr>
                  <w:tcW w:w="1007"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文物研究及利用</w:t>
                  </w:r>
                </w:p>
              </w:tc>
              <w:tc>
                <w:tcPr>
                  <w:tcW w:w="818"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20</w:t>
                  </w:r>
                </w:p>
              </w:tc>
              <w:tc>
                <w:tcPr>
                  <w:tcW w:w="1663"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对文物进行保护性研究，保证安全同时运用现有物料进行有效利用</w:t>
                  </w: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产出指标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数量指标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国保单位处数</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2</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处</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20.00%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产出指标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质量指标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经费保障率</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产出指标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时效指标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实施时间</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年</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成本指标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经济成本指标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文物利用开发经费总额</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20</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万元</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20.00%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等线" w:eastAsia="等线" w:cs="Arial"/>
                      <w:color w:val="000000"/>
                      <w:sz w:val="20"/>
                    </w:rPr>
                    <w:t>反向指标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效益指标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社会效益指标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文物保护意识形态加深</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定性</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优</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 xml:space="preserve"> 级</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20.00%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single" w:sz="6" w:space="0" w:color="000000"/>
                    <w:right w:val="single" w:sz="6" w:space="0" w:color="000000"/>
                    <w:tl2br w:val="nil"/>
                    <w:tr2bl w:val="nil"/>
                  </w:tcBorders>
                  <w:noWrap/>
                  <w:vAlign w:val="center"/>
                </w:tcPr>
                <w:p/>
              </w:tc>
              <w:tc>
                <w:tcPr>
                  <w:tcW w:w="1007" w:type="dxa"/>
                  <w:vMerge/>
                  <w:tcBorders>
                    <w:top w:val="nil"/>
                    <w:left w:val="single" w:sz="6" w:space="0" w:color="000000"/>
                    <w:bottom w:val="single" w:sz="6" w:space="0" w:color="000000"/>
                    <w:right w:val="single" w:sz="6" w:space="0" w:color="000000"/>
                    <w:tl2br w:val="nil"/>
                    <w:tr2bl w:val="nil"/>
                  </w:tcBorders>
                  <w:noWrap/>
                  <w:vAlign w:val="center"/>
                </w:tcPr>
                <w:p/>
              </w:tc>
              <w:tc>
                <w:tcPr>
                  <w:tcW w:w="818" w:type="dxa"/>
                  <w:vMerge/>
                  <w:tcBorders>
                    <w:top w:val="nil"/>
                    <w:left w:val="single" w:sz="6" w:space="0" w:color="000000"/>
                    <w:bottom w:val="single" w:sz="6" w:space="0" w:color="000000"/>
                    <w:right w:val="single" w:sz="6" w:space="0" w:color="000000"/>
                    <w:tl2br w:val="nil"/>
                    <w:tr2bl w:val="nil"/>
                  </w:tcBorders>
                  <w:noWrap/>
                  <w:vAlign w:val="center"/>
                </w:tcPr>
                <w:p/>
              </w:tc>
              <w:tc>
                <w:tcPr>
                  <w:tcW w:w="1663" w:type="dxa"/>
                  <w:vMerge/>
                  <w:tcBorders>
                    <w:top w:val="nil"/>
                    <w:left w:val="single" w:sz="6" w:space="0" w:color="000000"/>
                    <w:bottom w:val="single" w:sz="6" w:space="0" w:color="000000"/>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满意度指标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服务对象满意度指标搜</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游客满意度指标</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90</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756"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325903-广元石窟研究所</w:t>
                  </w:r>
                </w:p>
              </w:tc>
              <w:tc>
                <w:tcPr>
                  <w:tcW w:w="1007"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红军文化园安防及运转经费</w:t>
                  </w:r>
                </w:p>
              </w:tc>
              <w:tc>
                <w:tcPr>
                  <w:tcW w:w="818"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20</w:t>
                  </w:r>
                </w:p>
              </w:tc>
              <w:tc>
                <w:tcPr>
                  <w:tcW w:w="1663" w:type="dxa"/>
                  <w:vMerge w:val="restart"/>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红军文化园免费开放成本费用（绿化及卫生养护费用，卫生日常保洁费用，水电及临时维修等）</w:t>
                  </w: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产出指标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数量指标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绿化养护及临时维修次数</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12</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次</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产出指标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质量指标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红军文化园保洁程度</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98</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20.00%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产出指标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时效指标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实施时间</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年</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成本指标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经济成本指标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红军文化园水电费</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13</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万元</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20.00%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等线" w:eastAsia="等线" w:cs="Arial"/>
                      <w:color w:val="000000"/>
                      <w:sz w:val="20"/>
                    </w:rPr>
                    <w:t>反向指标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效益指标</w:t>
                  </w:r>
                </w:p>
              </w:tc>
              <w:tc>
                <w:tcPr>
                  <w:tcW w:w="12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社会效益指标</w:t>
                  </w:r>
                </w:p>
              </w:tc>
              <w:tc>
                <w:tcPr>
                  <w:tcW w:w="1800" w:type="dxa"/>
                  <w:tcBorders>
                    <w:top w:val="single" w:sz="6" w:space="0" w:color="000000"/>
                    <w:left w:val="single" w:sz="6" w:space="0" w:color="000000"/>
                    <w:bottom w:val="single" w:sz="6" w:space="0" w:color="000000"/>
                    <w:right w:val="single" w:sz="6" w:space="0" w:color="000000"/>
                    <w:tl2br w:val="nil"/>
                    <w:tr2bl w:val="nil"/>
                  </w:tcBorders>
                  <w:noWrap/>
                  <w:vAlign w:val="center"/>
                </w:tcPr>
                <w:p>
                  <w:r>
                    <w:rPr>
                      <w:rFonts w:ascii="宋体" w:eastAsia="宋体" w:cs="Arial"/>
                      <w:color w:val="000000"/>
                      <w:sz w:val="18"/>
                    </w:rPr>
                    <w:t>保护环境及革命文物</w:t>
                  </w:r>
                </w:p>
              </w:tc>
              <w:tc>
                <w:tcPr>
                  <w:tcW w:w="791"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定性</w:t>
                  </w:r>
                </w:p>
              </w:tc>
              <w:tc>
                <w:tcPr>
                  <w:tcW w:w="777"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优</w:t>
                  </w:r>
                </w:p>
              </w:tc>
              <w:tc>
                <w:tcPr>
                  <w:tcW w:w="736"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 xml:space="preserve"> 级</w:t>
                  </w:r>
                </w:p>
              </w:tc>
              <w:tc>
                <w:tcPr>
                  <w:tcW w:w="900" w:type="dxa"/>
                  <w:tcBorders>
                    <w:top w:val="single" w:sz="6" w:space="0" w:color="000000"/>
                    <w:left w:val="single" w:sz="6" w:space="0" w:color="000000"/>
                    <w:bottom w:val="single" w:sz="6" w:space="0" w:color="000000"/>
                    <w:right w:val="single" w:sz="6" w:space="0" w:color="000000"/>
                    <w:tl2br w:val="nil"/>
                    <w:tr2bl w:val="nil"/>
                  </w:tcBorders>
                  <w:noWrap/>
                  <w:vAlign w:val="center"/>
                </w:tcPr>
                <w:p>
                  <w:pPr>
                    <w:jc w:val="center"/>
                  </w:pPr>
                  <w:r>
                    <w:rPr>
                      <w:rFonts w:ascii="宋体" w:eastAsia="宋体" w:cs="Arial"/>
                      <w:color w:val="000000"/>
                      <w:sz w:val="18"/>
                    </w:rPr>
                    <w:t>20.00%</w:t>
                  </w:r>
                </w:p>
              </w:tc>
              <w:tc>
                <w:tcPr>
                  <w:tcW w:w="1345" w:type="dxa"/>
                  <w:tcBorders>
                    <w:top w:val="single" w:sz="6" w:space="0" w:color="000000"/>
                    <w:left w:val="single" w:sz="6" w:space="0" w:color="000000"/>
                    <w:bottom w:val="single" w:sz="6" w:space="0" w:color="000000"/>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r>
              <w:trPr>
                <w:trHeight w:val="479"/>
              </w:trPr>
              <w:tc>
                <w:tcPr>
                  <w:tcW w:w="846" w:type="dxa"/>
                  <w:vMerge/>
                  <w:tcBorders>
                    <w:top w:val="nil"/>
                    <w:left w:val="single" w:sz="6" w:space="0" w:color="000000"/>
                    <w:bottom w:val="nil"/>
                    <w:right w:val="single" w:sz="6" w:space="0" w:color="000000"/>
                    <w:tl2br w:val="nil"/>
                    <w:tr2bl w:val="nil"/>
                  </w:tcBorders>
                  <w:noWrap/>
                  <w:vAlign w:val="center"/>
                </w:tcPr>
                <w:p/>
              </w:tc>
              <w:tc>
                <w:tcPr>
                  <w:tcW w:w="1007" w:type="dxa"/>
                  <w:vMerge/>
                  <w:tcBorders>
                    <w:top w:val="nil"/>
                    <w:left w:val="single" w:sz="6" w:space="0" w:color="000000"/>
                    <w:bottom w:val="nil"/>
                    <w:right w:val="single" w:sz="6" w:space="0" w:color="000000"/>
                    <w:tl2br w:val="nil"/>
                    <w:tr2bl w:val="nil"/>
                  </w:tcBorders>
                  <w:noWrap/>
                  <w:vAlign w:val="center"/>
                </w:tcPr>
                <w:p/>
              </w:tc>
              <w:tc>
                <w:tcPr>
                  <w:tcW w:w="818" w:type="dxa"/>
                  <w:vMerge/>
                  <w:tcBorders>
                    <w:top w:val="nil"/>
                    <w:left w:val="single" w:sz="6" w:space="0" w:color="000000"/>
                    <w:bottom w:val="nil"/>
                    <w:right w:val="single" w:sz="6" w:space="0" w:color="000000"/>
                    <w:tl2br w:val="nil"/>
                    <w:tr2bl w:val="nil"/>
                  </w:tcBorders>
                  <w:noWrap/>
                  <w:vAlign w:val="center"/>
                </w:tcPr>
                <w:p/>
              </w:tc>
              <w:tc>
                <w:tcPr>
                  <w:tcW w:w="1663" w:type="dxa"/>
                  <w:vMerge/>
                  <w:tcBorders>
                    <w:top w:val="nil"/>
                    <w:left w:val="single" w:sz="6" w:space="0" w:color="000000"/>
                    <w:bottom w:val="nil"/>
                    <w:right w:val="single" w:sz="6" w:space="0" w:color="000000"/>
                    <w:tl2br w:val="nil"/>
                    <w:tr2bl w:val="nil"/>
                  </w:tcBorders>
                  <w:noWrap/>
                  <w:vAlign w:val="center"/>
                </w:tcPr>
                <w:p/>
              </w:tc>
              <w:tc>
                <w:tcPr>
                  <w:tcW w:w="1268" w:type="dxa"/>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满意度指标</w:t>
                  </w:r>
                </w:p>
              </w:tc>
              <w:tc>
                <w:tcPr>
                  <w:tcW w:w="1200" w:type="dxa"/>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服务对象满意度指标</w:t>
                  </w:r>
                </w:p>
              </w:tc>
              <w:tc>
                <w:tcPr>
                  <w:tcW w:w="1800" w:type="dxa"/>
                  <w:tcBorders>
                    <w:top w:val="single" w:sz="6" w:space="0" w:color="000000"/>
                    <w:left w:val="single" w:sz="6" w:space="0" w:color="000000"/>
                    <w:bottom w:val="nil"/>
                    <w:right w:val="single" w:sz="6" w:space="0" w:color="000000"/>
                    <w:tl2br w:val="nil"/>
                    <w:tr2bl w:val="nil"/>
                  </w:tcBorders>
                  <w:noWrap/>
                  <w:vAlign w:val="center"/>
                </w:tcPr>
                <w:p>
                  <w:r>
                    <w:rPr>
                      <w:rFonts w:ascii="宋体" w:eastAsia="宋体" w:cs="Arial"/>
                      <w:color w:val="000000"/>
                      <w:sz w:val="18"/>
                    </w:rPr>
                    <w:t>游客对红军文化园满意度</w:t>
                  </w:r>
                </w:p>
              </w:tc>
              <w:tc>
                <w:tcPr>
                  <w:tcW w:w="791" w:type="dxa"/>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w:t>
                  </w:r>
                </w:p>
              </w:tc>
              <w:tc>
                <w:tcPr>
                  <w:tcW w:w="777" w:type="dxa"/>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90</w:t>
                  </w:r>
                </w:p>
              </w:tc>
              <w:tc>
                <w:tcPr>
                  <w:tcW w:w="736" w:type="dxa"/>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w:t>
                  </w:r>
                </w:p>
              </w:tc>
              <w:tc>
                <w:tcPr>
                  <w:tcW w:w="900" w:type="dxa"/>
                  <w:tcBorders>
                    <w:top w:val="single" w:sz="6" w:space="0" w:color="000000"/>
                    <w:left w:val="single" w:sz="6" w:space="0" w:color="000000"/>
                    <w:bottom w:val="nil"/>
                    <w:right w:val="single" w:sz="6" w:space="0" w:color="000000"/>
                    <w:tl2br w:val="nil"/>
                    <w:tr2bl w:val="nil"/>
                  </w:tcBorders>
                  <w:noWrap/>
                  <w:vAlign w:val="center"/>
                </w:tcPr>
                <w:p>
                  <w:pPr>
                    <w:jc w:val="center"/>
                  </w:pPr>
                  <w:r>
                    <w:rPr>
                      <w:rFonts w:ascii="宋体" w:eastAsia="宋体" w:cs="Arial"/>
                      <w:color w:val="000000"/>
                      <w:sz w:val="18"/>
                    </w:rPr>
                    <w:t>10.00%</w:t>
                  </w:r>
                </w:p>
              </w:tc>
              <w:tc>
                <w:tcPr>
                  <w:tcW w:w="1345" w:type="dxa"/>
                  <w:tcBorders>
                    <w:top w:val="single" w:sz="6" w:space="0" w:color="000000"/>
                    <w:left w:val="single" w:sz="6" w:space="0" w:color="000000"/>
                    <w:bottom w:val="nil"/>
                    <w:right w:val="single" w:sz="6" w:space="0" w:color="000000"/>
                    <w:tl2br w:val="nil"/>
                    <w:tr2bl w:val="nil"/>
                  </w:tcBorders>
                  <w:noWrap/>
                  <w:vAlign w:val="center"/>
                </w:tcPr>
                <w:p>
                  <w:pPr>
                    <w:ind w:right="29"/>
                    <w:jc w:val="center"/>
                  </w:pPr>
                  <w:r>
                    <w:rPr>
                      <w:rFonts w:ascii="宋体" w:eastAsia="宋体" w:cs="Arial"/>
                      <w:color w:val="000000"/>
                      <w:sz w:val="18"/>
                    </w:rPr>
                    <w:t>正向指标</w:t>
                  </w:r>
                </w:p>
              </w:tc>
            </w:tr>
          </w:tbl>
          <w:p>
            <w:pPr>
              <w:keepNext w:val="0"/>
              <w:keepLines w:val="0"/>
              <w:widowControl/>
              <w:suppressLineNumbers w:val="0"/>
              <w:suppressAutoHyphens/>
              <w:jc w:val="center"/>
              <w:textAlignment w:val="center"/>
              <w:rPr>
                <w:rFonts w:ascii="宋体" w:eastAsia="宋体" w:cs="宋体" w:hAnsi="宋体" w:hint="eastAsia"/>
                <w:b/>
                <w:bCs/>
                <w:i w:val="0"/>
                <w:iCs w:val="0"/>
                <w:color w:val="000000"/>
                <w:sz w:val="30"/>
                <w:szCs w:val="30"/>
                <w:u w:val="none"/>
              </w:rPr>
            </w:pPr>
          </w:p>
        </w:tc>
      </w:tr>
    </w:tbl>
    <w:p>
      <w:pPr>
        <w:rPr>
          <w:rFonts w:ascii="仿宋_GB2312" w:eastAsia="仿宋_GB2312" w:cs="仿宋_GB2312" w:hAnsi="仿宋_GB2312" w:hint="eastAsia"/>
          <w:sz w:val="32"/>
          <w:szCs w:val="32"/>
        </w:rPr>
      </w:pPr>
    </w:p>
    <w:sectPr>
      <w:pgSz w:w="16838" w:h="11906" w:orient="landscape"/>
      <w:pgMar w:top="1587" w:right="2098" w:bottom="1474" w:left="1984" w:header="720" w:footer="1559" w:gutter="0"/>
      <w:cols w:num="1" w:space="0"/>
      <w:rtlGutter/>
      <w:docGrid w:type="lines" w:linePitch="312" w:charSpace="0"/>
    </w:sectPr>
  </w:body>
</w:document>
</file>

<file path=word/fontTable.xml><?xml version="1.0" encoding="utf-8"?>
<w:fonts xmlns:w="http://schemas.openxmlformats.org/wordprocessingml/2006/main" xmlns:r="http://schemas.openxmlformats.org/officeDocument/2006/relationships">
  <w:font w:name="方正小标宋简体">
    <w:panose1 w:val="02000000000000000000"/>
    <w:charset w:val="86"/>
    <w:family w:val="auto"/>
    <w:pitch w:val="variable"/>
    <w:sig w:usb0="A00002BF" w:usb1="184F6CFA" w:usb2="00000012" w:usb3="00000000" w:csb0="00040001" w:csb1="00000000"/>
  </w:font>
  <w:font w:name="仿宋_GB2312">
    <w:altName w:val="仿宋"/>
    <w:panose1 w:val="02010609030101010101"/>
    <w:charset w:val="86"/>
    <w:family w:val="auto"/>
    <w:pitch w:val="variable"/>
    <w:sig w:usb0="00000001" w:usb1="080E0000" w:usb2="00000000" w:usb3="00000000" w:csb0="00040000" w:csb1="00000000"/>
  </w:font>
  <w:font w:name="黑体">
    <w:panose1 w:val="02010600030101010101"/>
    <w:charset w:val="86"/>
    <w:family w:val="auto"/>
    <w:pitch w:val="variable"/>
    <w:sig w:usb0="00000001" w:usb1="080E0000" w:usb2="00000000" w:usb3="00000000" w:csb0="00040000" w:csb1="00000000"/>
  </w:font>
  <w:font w:name="宋体">
    <w:panose1 w:val="02010600030101010101"/>
    <w:charset w:val="86"/>
    <w:family w:val="auto"/>
    <w:pitch w:val="variable"/>
    <w:sig w:usb0="00000003" w:usb1="288F0000" w:usb2="00000006" w:usb3="00000000" w:csb0="00040001" w:csb1="00000000"/>
  </w:font>
  <w:font w:name="仿宋">
    <w:altName w:val="宋体"/>
    <w:panose1 w:val="02010609060101010101"/>
    <w:charset w:val="86"/>
    <w:family w:val="auto"/>
    <w:pitch w:val="variable"/>
    <w:sig w:usb0="00000000" w:usb1="00000000" w:usb2="00000016" w:usb3="00000000" w:csb0="00040001" w:csb1="00000000"/>
  </w:font>
  <w:font w:name="楷体_GB2312">
    <w:altName w:val="楷体"/>
    <w:panose1 w:val="02010609030101010101"/>
    <w:charset w:val="86"/>
    <w:family w:val="auto"/>
    <w:pitch w:val="variable"/>
    <w:sig w:usb0="00000001" w:usb1="080E0000" w:usb2="00000000" w:usb3="00000000" w:csb0="00040000" w:csb1="00000000"/>
  </w:font>
  <w:font w:name="Times New Roman">
    <w:panose1 w:val="02020603050405020304"/>
    <w:charset w:val="00"/>
    <w:family w:val="roman"/>
    <w:pitch w:val="variable"/>
    <w:sig w:usb0="20007A87" w:usb1="80000000" w:usb2="00000008" w:usb3="00000000" w:csb0="000001FF" w:csb1="00000000"/>
  </w:font>
  <w:font w:name="方正黑体简体">
    <w:altName w:val="宋体"/>
    <w:panose1 w:val="00000000000000000000"/>
    <w:charset w:val="00"/>
    <w:family w:val="auto"/>
    <w:pitch w:val="variable"/>
    <w:sig w:usb0="00000000" w:usb1="00000000" w:usb2="00000000" w:usb3="00000000" w:csb0="00000000" w:csb1="00000000"/>
  </w:font>
  <w:font w:name="Arial">
    <w:panose1 w:val="020B0604020202020204"/>
    <w:charset w:val="01"/>
    <w:family w:val="swiss"/>
    <w:pitch w:val="variable"/>
    <w:sig w:usb0="00007A87" w:usb1="80000000" w:usb2="00000008" w:usb3="00000000" w:csb0="400001FF" w:csb1="FFFF0000"/>
  </w:font>
  <w:font w:name="等线">
    <w:altName w:val="宋体"/>
    <w:panose1 w:val="02010600030101010101"/>
    <w:charset w:val="86"/>
    <w:family w:val="auto"/>
    <w:pitch w:val="variable"/>
    <w:sig w:usb0="00000000" w:usb1="00000000" w:usb2="00000016" w:usb3="00000000" w:csb0="0004000F" w:csb1="00000000"/>
  </w:font>
  <w:font w:name="Calibri">
    <w:altName w:val="Lucida Sans"/>
    <w:panose1 w:val="020F0502020204030204"/>
    <w:charset w:val="00"/>
    <w:family w:val="swiss"/>
    <w:pitch w:val="variable"/>
    <w:sig w:usb0="00000000" w:usb1="00000000" w:usb2="00000001" w:usb3="00000000" w:csb0="0000019F" w:csb1="00000000"/>
  </w:font>
  <w:font w:name="Liberation Sans">
    <w:altName w:val="Vijaya"/>
    <w:panose1 w:val="020B0604020202020204"/>
    <w:charset w:val="00"/>
    <w:family w:val="swiss"/>
    <w:pitch w:val="variable"/>
    <w:sig w:usb0="A00002AF" w:usb1="500078FB" w:usb2="00000000" w:usb3="00000000" w:csb0="6000009F" w:csb1="DFD70000"/>
  </w:font>
  <w:font w:name="Noto Sans CJK SC Regular">
    <w:altName w:val="SimSun-ExtB"/>
    <w:panose1 w:val="020B0500000000000000"/>
    <w:charset w:val="86"/>
    <w:family w:val="auto"/>
    <w:pitch w:val="variable"/>
    <w:sig w:usb0="30000003" w:usb1="2BDF3C10" w:usb2="00000016" w:usb3="00000000" w:csb0="602E0107" w:csb1="00000000"/>
  </w:font>
</w:fonts>
</file>

<file path=word/footer1.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18"/>
      <w:framePr w:w="0" w:hRule="auto" w:wrap="around" w:vAnchor="text" w:hAnchor="margin" w:xAlign="right" w:y="1" w:anchorLock="0"/>
      <w:pBdr>
        <w:top w:val="none" w:sz="0" w:space="0" w:color="auto"/>
        <w:left w:val="none" w:sz="0" w:space="0" w:color="auto"/>
        <w:bottom w:val="none" w:sz="0" w:space="0" w:color="auto"/>
        <w:right w:val="none" w:sz="0" w:space="0" w:color="auto"/>
      </w:pBdr>
      <w:tabs>
        <w:tab w:val="center" w:pos="4153"/>
        <w:tab w:val="right" w:pos="8306"/>
      </w:tabs>
    </w:pPr>
    <w:r>
      <w:rPr>
        <w:rStyle w:val="25"/>
      </w:rPr>
      <w:fldChar w:fldCharType="begin"/>
    </w:r>
    <w:r>
      <w:rPr>
        <w:rStyle w:val="25"/>
      </w:rPr>
      <w:instrText>Page</w:instrText>
    </w:r>
    <w:r>
      <w:rPr>
        <w:rStyle w:val="25"/>
      </w:rPr>
      <w:fldChar w:fldCharType="separate"/>
    </w:r>
    <w:r>
      <w:rPr>
        <w:rStyle w:val="25"/>
      </w:rPr>
      <w:t>1</w:t>
    </w:r>
    <w:r>
      <w:rPr>
        <w:rStyle w:val="25"/>
      </w:rPr>
      <w:fldChar w:fldCharType="end"/>
    </w:r>
  </w:p>
  <w:p>
    <w:pPr>
      <w:pStyle w:val="18"/>
      <w:tabs>
        <w:tab w:val="center" w:pos="4153"/>
        <w:tab w:val="right" w:pos="8306"/>
      </w:tabs>
      <w:ind w:right="360"/>
    </w:pPr>
  </w:p>
</w:ftr>
</file>

<file path=word/footer2.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18"/>
      <w:framePr w:w="0" w:hRule="auto" w:wrap="around" w:vAnchor="text" w:hAnchor="margin" w:xAlign="right" w:y="1" w:anchorLock="0"/>
      <w:pBdr>
        <w:top w:val="none" w:sz="0" w:space="0" w:color="auto"/>
        <w:left w:val="none" w:sz="0" w:space="0" w:color="auto"/>
        <w:bottom w:val="none" w:sz="0" w:space="0" w:color="auto"/>
        <w:right w:val="none" w:sz="0" w:space="0" w:color="auto"/>
      </w:pBdr>
      <w:tabs>
        <w:tab w:val="center" w:pos="4153"/>
        <w:tab w:val="right" w:pos="8306"/>
      </w:tabs>
      <w:rPr>
        <w:rStyle w:val="25"/>
      </w:rPr>
    </w:pPr>
  </w:p>
  <w:p>
    <w:pPr>
      <w:pStyle w:val="18"/>
      <w:framePr w:w="0" w:hRule="auto" w:wrap="around" w:vAnchor="text" w:hAnchor="margin" w:xAlign="right" w:y="1" w:anchorLock="0"/>
      <w:pBdr>
        <w:top w:val="none" w:sz="0" w:space="0" w:color="auto"/>
        <w:left w:val="none" w:sz="0" w:space="0" w:color="auto"/>
        <w:bottom w:val="none" w:sz="0" w:space="0" w:color="auto"/>
        <w:right w:val="none" w:sz="0" w:space="0" w:color="auto"/>
      </w:pBdr>
      <w:tabs>
        <w:tab w:val="center" w:pos="4153"/>
        <w:tab w:val="right" w:pos="8306"/>
      </w:tabs>
    </w:pPr>
    <w:r>
      <w:rPr>
        <w:rStyle w:val="25"/>
      </w:rPr>
      <w:fldChar w:fldCharType="begin"/>
    </w:r>
    <w:r>
      <w:rPr>
        <w:rStyle w:val="25"/>
      </w:rPr>
      <w:instrText>Page</w:instrText>
    </w:r>
    <w:r>
      <w:rPr>
        <w:rStyle w:val="25"/>
      </w:rPr>
      <w:fldChar w:fldCharType="separate"/>
    </w:r>
    <w:r>
      <w:rPr>
        <w:rStyle w:val="25"/>
      </w:rPr>
      <w:t>1</w:t>
    </w:r>
    <w:r>
      <w:rPr>
        <w:rStyle w:val="25"/>
      </w:rPr>
      <w:fldChar w:fldCharType="end"/>
    </w:r>
  </w:p>
  <w:p>
    <w:pPr>
      <w:pStyle w:val="18"/>
      <w:tabs>
        <w:tab w:val="center" w:pos="4153"/>
        <w:tab w:val="right" w:pos="8306"/>
      </w:tabs>
      <w:ind w:right="360"/>
    </w:pPr>
  </w:p>
</w:ftr>
</file>

<file path=word/footer3.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18"/>
      <w:framePr w:w="0" w:hRule="auto" w:wrap="around" w:vAnchor="text" w:hAnchor="margin" w:xAlign="right" w:y="1" w:anchorLock="0"/>
      <w:pBdr>
        <w:top w:val="none" w:sz="0" w:space="0" w:color="auto"/>
        <w:left w:val="none" w:sz="0" w:space="0" w:color="auto"/>
        <w:bottom w:val="none" w:sz="0" w:space="0" w:color="auto"/>
        <w:right w:val="none" w:sz="0" w:space="0" w:color="auto"/>
      </w:pBdr>
      <w:tabs>
        <w:tab w:val="center" w:pos="4153"/>
        <w:tab w:val="right" w:pos="8306"/>
      </w:tabs>
    </w:pPr>
    <w:r>
      <w:rPr>
        <w:rStyle w:val="25"/>
      </w:rPr>
      <w:fldChar w:fldCharType="begin"/>
    </w:r>
    <w:r>
      <w:rPr>
        <w:rStyle w:val="25"/>
      </w:rPr>
      <w:instrText>Page</w:instrText>
    </w:r>
    <w:r>
      <w:rPr>
        <w:rStyle w:val="25"/>
      </w:rPr>
      <w:fldChar w:fldCharType="separate"/>
    </w:r>
    <w:r>
      <w:rPr>
        <w:rStyle w:val="25"/>
      </w:rPr>
      <w:t>1</w:t>
    </w:r>
    <w:r>
      <w:rPr>
        <w:rStyle w:val="25"/>
      </w:rPr>
      <w:fldChar w:fldCharType="end"/>
    </w:r>
  </w:p>
  <w:p>
    <w:pPr>
      <w:pStyle w:val="18"/>
      <w:tabs>
        <w:tab w:val="center" w:pos="4153"/>
        <w:tab w:val="right" w:pos="8306"/>
      </w:tabs>
      <w:ind w:right="360"/>
    </w:pPr>
  </w:p>
</w:ftr>
</file>

<file path=word/numbering.xml><?xml version="1.0" encoding="utf-8"?>
<w:numbering xmlns:w="http://schemas.openxmlformats.org/wordprocessingml/2006/main" xmlns:o="urn:schemas-microsoft-com:office:office" xmlns:r="http://schemas.openxmlformats.org/officeDocument/2006/relationships" xmlns:m="http://schemas.openxmlformats.org/officeDocument/2006/math" xmlns:v="urn:schemas-microsoft-com:vml" xmlns:mc="http://schemas.openxmlformats.org/markup-compatibility/2006" xmlns:w14="http://schemas.microsoft.com/office/word/2010/wordml">
  <w:abstractNum w:abstractNumId="0">
    <w:nsid w:val="3FFF1F26"/>
    <w:multiLevelType w:val="singleLevel"/>
    <w:tmpl w:val="3FFF1F26"/>
    <w:lvl w:ilvl="0">
      <w:start w:val="1"/>
      <w:numFmt w:val="chineseCounting"/>
      <w:lvlRestart w:val="0"/>
      <w:suff w:val="nothing"/>
      <w:lvlText w:val="%1、"/>
      <w:lvlJc w:val="left"/>
      <w:pPr>
        <w:ind w:left="160" w:hanging="0"/>
      </w:pPr>
      <w:rPr>
        <w:rFonts w:hint="eastAsia"/>
      </w:rPr>
    </w:lvl>
  </w:abstractNum>
  <w:abstractNum w:abstractNumId="1">
    <w:nsid w:val="D5BE09C1"/>
    <w:multiLevelType w:val="singleLevel"/>
    <w:tmpl w:val="D5BE09C1"/>
    <w:lvl w:ilvl="0">
      <w:start w:val="1"/>
      <w:numFmt w:val="chineseCounting"/>
      <w:lvlRestart w:val="0"/>
      <w:suff w:val="space"/>
      <w:lvlText w:val="第%1部分"/>
      <w:lvlJc w:val="left"/>
      <w:pPr>
        <w:ind w:left="1470" w:hanging="1470"/>
      </w:pPr>
      <w:rPr>
        <w:rFonts w:ascii="方正小标宋简体" w:hAnsi="方正小标宋简体" w:eastAsia="方正小标宋简体" w:cs="方正小标宋简体" w:hint="eastAsia"/>
        <w:sz w:val="44"/>
        <w:szCs w:val="44"/>
      </w:rPr>
    </w:lvl>
  </w:abstractNum>
  <w:num w:numId="1">
    <w:abstractNumId w:val="0"/>
  </w:num>
  <w:num w:numId="2">
    <w:abstractNumId w:val="1"/>
  </w:num>
</w:numbering>
</file>

<file path=word/settings.xml><?xml version="1.0" encoding="utf-8"?>
<w:settings xmlns:w="http://schemas.openxmlformats.org/wordprocessingml/2006/main" xmlns:o="urn:schemas-microsoft-com:office:office" xmlns:r="http://schemas.openxmlformats.org/officeDocument/2006/relationships" xmlns:m="http://schemas.openxmlformats.org/officeDocument/2006/math" xmlns:v="urn:schemas-microsoft-com:vml">
  <w:zoom w:percent="100"/>
  <w:displayBackgroundShape/>
  <w:bordersDoNotSurroundHeader w:val="0"/>
  <w:bordersDoNotSurroundFooter w:val="0"/>
  <w:documentProtection w:edit="readOnly" w:enforcement="0"/>
  <w:defaultTabStop w:val="420"/>
  <w:drawingGridHorizontalSpacing w:val="1"/>
  <w:drawingGridVerticalSpacing w:val="3189"/>
  <w:doNotUseMarginsForDrawingGridOrigin/>
  <w:drawingGridHorizontalOrigin w:val="0"/>
  <w:drawingGridVerticalOrigin w:val="0"/>
  <w:displayHorizontalDrawingGridEvery w:val="1"/>
  <w:displayVerticalDrawingGridEvery w:val="1"/>
  <w:noPunctuationKerning/>
  <w:characterSpacingControl w:val="compressPunctuation"/>
  <w:compat>
    <w:spaceForUL/>
    <w:balanceSingleByteDoubleByteWidth/>
    <w:ulTrailSpace/>
    <w:doNotExpandShiftReturn/>
    <w:adjustLineHeightInTable/>
    <w:doNotUseIndentAsNumberingTabStop/>
    <w:compatSetting w:name="compatibilityMode" w:uri="http://schemas.microsoft.com/office/word" w:val="14"/>
  </w:compat>
  <w:docVars>
    <w:docVar w:name="commondata" w:val="eyJoZGlkIjoiZDc5MTc1YWUzNDk5OThmNzcwNDRiNmRkMjhiZTRiMmMifQ=="/>
  </w:docVars>
</w:settings>
</file>

<file path=word/styles.xml><?xml version="1.0" encoding="utf-8"?>
<w:styles xmlns:w="http://schemas.openxmlformats.org/wordprocessingml/2006/main" xmlns:r="http://schemas.openxmlformats.org/officeDocument/2006/relationships">
  <w:docDefaults>
    <w:rPrDefault>
      <w:rPr>
        <w:rFonts w:ascii="Times New Roman" w:eastAsia="宋体" w:hAnsi="Times New Roman" w:cs="Arial"/>
        <w:lang w:val="en-US" w:eastAsia="zh-CN" w:bidi="ar-SA"/>
      </w:rPr>
    </w:rPrDefault>
    <w:pPrDefault/>
  </w:docDefaults>
  <w:style w:type="paragraph" w:default="1" w:styleId="0">
    <w:name w:val="Normal"/>
    <w:pPr>
      <w:widowControl w:val="0"/>
      <w:suppressAutoHyphens/>
      <w:bidi w:val="0"/>
      <w:jc w:val="both"/>
    </w:pPr>
    <w:rPr>
      <w:rFonts w:ascii="Calibri" w:eastAsia="宋体" w:cs="Times New Roman" w:hAnsi="Calibri"/>
      <w:color w:val="auto"/>
      <w:kern w:val="2"/>
      <w:sz w:val="21"/>
      <w:szCs w:val="24"/>
      <w:lang w:val="en-US" w:eastAsia="zh-CN" w:bidi="ar-SA"/>
    </w:rPr>
  </w:style>
  <w:style w:type="paragraph" w:styleId="1">
    <w:name w:val="heading 1"/>
    <w:basedOn w:val="0"/>
    <w:next w:val="0"/>
    <w:pPr>
      <w:keepNext/>
      <w:keepLines/>
      <w:widowControl w:val="0"/>
      <w:suppressAutoHyphens/>
      <w:spacing w:before="340" w:after="330" w:line="578" w:lineRule="auto"/>
      <w:jc w:val="center"/>
      <w:outlineLvl w:val="0"/>
    </w:pPr>
    <w:rPr>
      <w:rFonts w:eastAsia="方正小标宋简体"/>
      <w:bCs/>
      <w:kern w:val="44"/>
      <w:sz w:val="44"/>
      <w:szCs w:val="44"/>
    </w:rPr>
  </w:style>
  <w:style w:type="paragraph" w:styleId="2">
    <w:name w:val="heading 2"/>
    <w:basedOn w:val="0"/>
    <w:next w:val="0"/>
    <w:pPr>
      <w:keepNext/>
      <w:keepLines/>
      <w:widowControl w:val="0"/>
      <w:suppressAutoHyphens/>
      <w:spacing w:before="260" w:after="260" w:line="415" w:lineRule="auto"/>
      <w:outlineLvl w:val="1"/>
    </w:pPr>
    <w:rPr>
      <w:rFonts w:ascii="Times New Roman" w:eastAsia="黑体" w:hAnsi="Times New Roman"/>
      <w:bCs/>
      <w:sz w:val="32"/>
      <w:szCs w:val="32"/>
    </w:rPr>
  </w:style>
  <w:style w:type="paragraph" w:styleId="3">
    <w:name w:val="heading 3"/>
    <w:basedOn w:val="0"/>
    <w:next w:val="0"/>
    <w:link w:val="3Char"/>
    <w:pPr>
      <w:keepNext/>
      <w:keepLines/>
      <w:widowControl w:val="0"/>
      <w:suppressAutoHyphens/>
      <w:spacing w:before="260" w:after="260" w:line="415" w:lineRule="auto"/>
      <w:outlineLvl w:val="2"/>
    </w:pPr>
    <w:rPr>
      <w:bCs/>
      <w:sz w:val="32"/>
      <w:szCs w:val="32"/>
    </w:rPr>
  </w:style>
  <w:style w:type="character" w:customStyle="1" w:styleId="3Char">
    <w:name w:val="heading 3 Char"/>
    <w:basedOn w:val="10"/>
    <w:link w:val="3"/>
    <w:rPr>
      <w:rFonts w:ascii="Calibri" w:eastAsia="宋体" w:cs="Times New Roman" w:hAnsi="Calibri"/>
      <w:bCs/>
      <w:color w:val="auto"/>
      <w:kern w:val="2"/>
      <w:sz w:val="32"/>
      <w:szCs w:val="32"/>
      <w:lang w:val="en-US" w:eastAsia="zh-CN" w:bidi="ar-SA"/>
    </w:rPr>
  </w:style>
  <w:style w:type="character" w:default="1" w:styleId="10">
    <w:name w:val="Default Paragraph Font"/>
  </w:style>
  <w:style w:type="paragraph" w:styleId="15">
    <w:name w:val="caption"/>
    <w:basedOn w:val="0"/>
    <w:next w:val="0"/>
    <w:pPr>
      <w:widowControl w:val="0"/>
      <w:suppressLineNumbers/>
      <w:suppressAutoHyphens/>
      <w:spacing w:before="120" w:after="120"/>
    </w:pPr>
    <w:rPr>
      <w:i/>
      <w:iCs/>
      <w:sz w:val="24"/>
      <w:szCs w:val="24"/>
    </w:rPr>
  </w:style>
  <w:style w:type="paragraph" w:styleId="16">
    <w:name w:val="Body Text"/>
    <w:basedOn w:val="0"/>
    <w:pPr>
      <w:spacing w:before="0" w:after="140" w:line="276" w:lineRule="auto"/>
    </w:pPr>
  </w:style>
  <w:style w:type="paragraph" w:styleId="17">
    <w:name w:val="toc 3"/>
    <w:basedOn w:val="0"/>
    <w:next w:val="0"/>
    <w:pPr>
      <w:ind w:left="840"/>
    </w:pPr>
  </w:style>
  <w:style w:type="paragraph" w:styleId="18">
    <w:name w:val="footer"/>
    <w:basedOn w:val="0"/>
    <w:pPr>
      <w:tabs>
        <w:tab w:val="center" w:pos="4153"/>
        <w:tab w:val="right" w:pos="8306"/>
      </w:tabs>
      <w:snapToGrid w:val="0"/>
      <w:jc w:val="left"/>
    </w:pPr>
    <w:rPr>
      <w:sz w:val="18"/>
    </w:rPr>
  </w:style>
  <w:style w:type="paragraph" w:styleId="19">
    <w:name w:val="header"/>
    <w:basedOn w:val="0"/>
    <w:pPr>
      <w:pBdr>
        <w:top w:val="none" w:sz="0" w:space="0" w:color="auto"/>
        <w:left w:val="none" w:sz="0" w:space="0" w:color="auto"/>
        <w:bottom w:val="none" w:sz="0" w:space="0" w:color="auto"/>
        <w:right w:val="none" w:sz="0" w:space="0" w:color="auto"/>
      </w:pBdr>
      <w:tabs>
        <w:tab w:val="center" w:pos="4153"/>
        <w:tab w:val="right" w:pos="8306"/>
      </w:tabs>
      <w:snapToGrid w:val="0"/>
      <w:spacing w:line="240" w:lineRule="auto"/>
      <w:jc w:val="both"/>
      <w:outlineLvl w:val="9"/>
    </w:pPr>
    <w:rPr>
      <w:sz w:val="18"/>
    </w:rPr>
  </w:style>
  <w:style w:type="paragraph" w:styleId="20">
    <w:name w:val="toc 1"/>
    <w:basedOn w:val="0"/>
    <w:next w:val="0"/>
  </w:style>
  <w:style w:type="paragraph" w:styleId="21">
    <w:name w:val="List"/>
    <w:basedOn w:val="16"/>
  </w:style>
  <w:style w:type="paragraph" w:styleId="22">
    <w:name w:val="toc 2"/>
    <w:basedOn w:val="0"/>
    <w:next w:val="0"/>
    <w:pPr>
      <w:ind w:left="420"/>
    </w:pPr>
  </w:style>
  <w:style w:type="paragraph" w:styleId="23">
    <w:name w:val="Normal (Web)"/>
    <w:basedOn w:val="0"/>
    <w:pPr>
      <w:spacing w:before="0" w:beforeAutospacing="1" w:after="0" w:afterAutospacing="1"/>
      <w:ind w:left="0" w:right="0"/>
      <w:jc w:val="left"/>
    </w:pPr>
    <w:rPr>
      <w:kern w:val="0"/>
      <w:sz w:val="24"/>
      <w:lang w:val="en-US" w:eastAsia="zh-CN"/>
    </w:rPr>
  </w:style>
  <w:style w:type="character" w:styleId="24">
    <w:name w:val="Strong"/>
    <w:rPr>
      <w:rFonts w:ascii="Calibri" w:eastAsia="宋体" w:cs="Times New Roman" w:hAnsi="Calibri"/>
      <w:b/>
      <w:color w:val="auto"/>
      <w:kern w:val="2"/>
      <w:sz w:val="21"/>
      <w:szCs w:val="24"/>
      <w:lang w:val="en-US" w:eastAsia="zh-CN" w:bidi="ar-SA"/>
    </w:rPr>
  </w:style>
  <w:style w:type="character" w:styleId="25">
    <w:name w:val="page number"/>
    <w:basedOn w:val="10"/>
  </w:style>
  <w:style w:type="character" w:customStyle="1" w:styleId="26">
    <w:name w:val="默认段落字体1"/>
  </w:style>
  <w:style w:type="paragraph" w:customStyle="1" w:styleId="27">
    <w:name w:val="Heading"/>
    <w:basedOn w:val="0"/>
    <w:next w:val="16"/>
    <w:pPr>
      <w:keepNext/>
      <w:widowControl w:val="0"/>
      <w:suppressAutoHyphens/>
      <w:spacing w:before="240" w:after="120"/>
    </w:pPr>
    <w:rPr>
      <w:rFonts w:ascii="Liberation Sans" w:eastAsia="Noto Sans CJK SC Regular" w:cs="Noto Sans CJK SC Regular" w:hAnsi="Liberation Sans"/>
      <w:sz w:val="28"/>
      <w:szCs w:val="28"/>
      <w:lang w:bidi="ar-SA"/>
    </w:rPr>
  </w:style>
  <w:style w:type="paragraph" w:customStyle="1" w:styleId="28">
    <w:name w:val="Index"/>
    <w:basedOn w:val="0"/>
    <w:pPr>
      <w:widowControl w:val="0"/>
      <w:suppressLineNumbers/>
      <w:suppressAutoHyphens/>
    </w:pPr>
  </w:style>
  <w:style w:type="character" w:customStyle="1" w:styleId="29">
    <w:name w:val="font61"/>
    <w:basedOn w:val="10"/>
    <w:rPr>
      <w:rFonts w:ascii="宋体" w:eastAsia="宋体" w:cs="宋体" w:hAnsi="宋体"/>
      <w:color w:val="000000"/>
      <w:sz w:val="22"/>
      <w:szCs w:val="22"/>
      <w:u w:val="none"/>
    </w:rPr>
  </w:style>
  <w:style w:type="character" w:customStyle="1" w:styleId="30">
    <w:name w:val="font51"/>
    <w:basedOn w:val="10"/>
    <w:rPr>
      <w:rFonts w:ascii="宋体" w:eastAsia="宋体" w:cs="宋体" w:hAnsi="宋体"/>
      <w:color w:val="000000"/>
      <w:sz w:val="22"/>
      <w:szCs w:val="22"/>
      <w:u w:val="none"/>
    </w:rPr>
  </w:style>
  <w:style w:type="character" w:customStyle="1" w:styleId="31">
    <w:name w:val="font21"/>
    <w:basedOn w:val="10"/>
    <w:rPr>
      <w:rFonts w:ascii="宋体" w:eastAsia="宋体" w:cs="宋体" w:hAnsi="宋体"/>
      <w:color w:val="000000"/>
      <w:sz w:val="22"/>
      <w:szCs w:val="22"/>
      <w:u w:val="none"/>
    </w:rPr>
  </w:style>
  <w:style w:type="character" w:customStyle="1" w:styleId="32">
    <w:name w:val="font41"/>
    <w:basedOn w:val="10"/>
    <w:rPr>
      <w:rFonts w:ascii="宋体" w:eastAsia="宋体" w:cs="宋体" w:hAnsi="宋体"/>
      <w:color w:val="000000"/>
      <w:sz w:val="22"/>
      <w:szCs w:val="22"/>
      <w:u w:val="none"/>
    </w:rPr>
  </w:style>
  <w:style w:type="character" w:customStyle="1" w:styleId="33">
    <w:name w:val="NormalCharacte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oter" Target="footer1.xml"/><Relationship Id="rId3" Type="http://schemas.openxmlformats.org/officeDocument/2006/relationships/footer" Target="footer2.xml"/><Relationship Id="rId4" Type="http://schemas.openxmlformats.org/officeDocument/2006/relationships/footer" Target="footer3.xml"/><Relationship Id="rId5" Type="http://schemas.openxmlformats.org/officeDocument/2006/relationships/image" Target="media/2.png"/><Relationship Id="rId6" Type="http://schemas.openxmlformats.org/officeDocument/2006/relationships/image" Target="media/5.png"/><Relationship Id="rId7" Type="http://schemas.openxmlformats.org/officeDocument/2006/relationships/image" Target="media/8.png"/><Relationship Id="rId8" Type="http://schemas.openxmlformats.org/officeDocument/2006/relationships/image" Target="media/11.png"/><Relationship Id="rId9" Type="http://schemas.openxmlformats.org/officeDocument/2006/relationships/image" Target="media/14.png"/><Relationship Id="rId10" Type="http://schemas.openxmlformats.org/officeDocument/2006/relationships/image" Target="media/17.png"/><Relationship Id="rId11" Type="http://schemas.openxmlformats.org/officeDocument/2006/relationships/image" Target="media/20.png"/><Relationship Id="rId12" Type="http://schemas.openxmlformats.org/officeDocument/2006/relationships/image" Target="media/23.png"/><Relationship Id="rId13" Type="http://schemas.openxmlformats.org/officeDocument/2006/relationships/image" Target="media/26.png"/><Relationship Id="rId14" Type="http://schemas.openxmlformats.org/officeDocument/2006/relationships/image" Target="media/29.png"/><Relationship Id="rId15" Type="http://schemas.openxmlformats.org/officeDocument/2006/relationships/image" Target="media/32.png"/><Relationship Id="rId16" Type="http://schemas.openxmlformats.org/officeDocument/2006/relationships/image" Target="media/35.png"/><Relationship Id="rId17" Type="http://schemas.openxmlformats.org/officeDocument/2006/relationships/styles" Target="styles.xml"/><Relationship Id="rId18" Type="http://schemas.openxmlformats.org/officeDocument/2006/relationships/numbering" Target="numbering.xml"/><Relationship Id="rId19" Type="http://schemas.openxmlformats.org/officeDocument/2006/relationships/fontTable" Target="fontTable.xml"/><Relationship Id="rId20" Type="http://schemas.openxmlformats.org/officeDocument/2006/relationships/customXml" Target="../customXml/item1.xml"/></Relationships>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ustomData xmlns="http://www.yozosoft.com.cn/officeDocument/2016/customData">
  <customProps>
    <docPr revisions="3 0 5 0 0 0 1 0 0 0 3000 0 1 1 1 1"/>
    <sectPr/>
    <sectPr/>
    <sectPr/>
    <sectPr/>
    <sectPr/>
    <sectPr/>
    <sectPr/>
  </customProps>
</customData>
</file>

<file path=customXml/itemProps1.xml><?xml version="1.0" encoding="utf-8"?>
<ds:datastoreItem xmlns:ds="http://schemas.openxmlformats.org/officeDocument/2006/customXml" ds:itemID="{6A072881-B97D-4CA8-8156-0CE291969B82}">
  <ds:schemaRefs>
    <ds:schemaRef ds:uri="http://www.yozosoft.com.cn/officeDocument/2016/customData"/>
  </ds:schemaRefs>
</ds:datastoreItem>
</file>

<file path=docProps/app.xml><?xml version="1.0" encoding="utf-8"?>
<Properties xmlns="http://schemas.openxmlformats.org/officeDocument/2006/extended-properties">
  <Template>Normal.eit</Template>
  <TotalTime>48</TotalTime>
  <Application>Yozo_Office27021597764231179</Application>
  <Pages>30</Pages>
  <Words>0</Words>
  <Characters>6032</Characters>
  <Lines>0</Lines>
  <Paragraphs>217</Paragraphs>
  <CharactersWithSpaces>8043</CharactersWithSpaces>
</Properties>
</file>

<file path=docProps/core.xml><?xml version="1.0" encoding="utf-8"?>
<cp:coreProperties xmlns:cp="http://schemas.openxmlformats.org/package/2006/metadata/core-properties" xmlns:dc="http://purl.org/dc/elements/1.1/" xmlns:dcterms="http://purl.org/dc/terms/" xmlns:xsi="http://www.w3.org/2001/XMLSchema-instance">
  <dc:creator>admin</dc:creator>
  <cp:lastModifiedBy>Administrator</cp:lastModifiedBy>
  <cp:revision>2</cp:revision>
  <dcterms:created xsi:type="dcterms:W3CDTF">2018-12-02T17:47:00Z</dcterms:created>
  <dcterms:modified xsi:type="dcterms:W3CDTF">2025-02-24T10:05:34Z</dcterms:modified>
</cp:coreProperties>
</file>

<file path=docProps/custom.xml><?xml version="1.0" encoding="utf-8"?>
<Properties xmlns:vt="http://schemas.openxmlformats.org/officeDocument/2006/docPropsVTypes" xmlns="http://schemas.openxmlformats.org/officeDocument/2006/custom-properties">
  <property fmtid="{D5CDD505-2E9C-101B-9397-08002B2CF9AE}" pid="2" name="KSOProductBuildVer">
    <vt:lpwstr>2052-11.8.2.1125</vt:lpwstr>
  </property>
  <property fmtid="{D5CDD505-2E9C-101B-9397-08002B2CF9AE}" pid="3" name="ICV">
    <vt:lpwstr>96081F72B7444D3C8C1C7DDAED24732C_13</vt:lpwstr>
  </property>
  <property fmtid="{D5CDD505-2E9C-101B-9397-08002B2CF9AE}" pid="4" name="KSOTemplateDocerSaveRecord">
    <vt:lpwstr>eyJoZGlkIjoiZmQzMTU5NmIzMTdiYjAyM2ZjZDg3NzBhMmYyNDA5MDUiLCJ1c2VySWQiOiIxMjk3ODc3NDUxIn0=</vt:lpwstr>
  </property>
</Properties>
</file>