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广元市文化广播电视和旅游局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2025年单位预算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both"/>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sectPr>
          <w:footerReference r:id="rId3" w:type="default"/>
          <w:pgSz w:w="11906" w:h="16838"/>
          <w:pgMar w:top="2098" w:right="1474" w:bottom="1984" w:left="1587" w:header="720" w:footer="1559" w:gutter="0"/>
          <w:pgNumType w:fmt="decimal"/>
          <w:cols w:space="0" w:num="1"/>
          <w:rtlGutter w:val="0"/>
          <w:docGrid w:type="lines" w:linePitch="312" w:charSpace="0"/>
        </w:sectPr>
      </w:pPr>
    </w:p>
    <w:sdt>
      <w:sdtPr>
        <w:rPr>
          <w:rFonts w:ascii="宋体" w:hAnsi="宋体" w:eastAsia="宋体" w:cs="Times New Roman"/>
          <w:color w:val="auto"/>
          <w:kern w:val="2"/>
          <w:sz w:val="21"/>
          <w:szCs w:val="24"/>
          <w:lang w:val="en-US" w:eastAsia="zh-CN" w:bidi="ar-SA"/>
        </w:rPr>
        <w:id w:val="147469410"/>
        <w15:color w:val="DBDBDB"/>
        <w:docPartObj>
          <w:docPartGallery w:val="Table of Contents"/>
          <w:docPartUnique/>
        </w:docPartObj>
      </w:sdtPr>
      <w:sdtEndPr>
        <w:rPr>
          <w:rFonts w:hint="eastAsia" w:ascii="宋体" w:hAnsi="宋体" w:eastAsia="宋体" w:cs="宋体"/>
          <w:i w:val="0"/>
          <w:caps w:val="0"/>
          <w:color w:val="000000" w:themeColor="text1"/>
          <w:spacing w:val="0"/>
          <w:kern w:val="0"/>
          <w:sz w:val="24"/>
          <w:szCs w:val="28"/>
          <w:highlight w:val="none"/>
          <w:shd w:val="clear" w:color="auto" w:fill="FFFFFF"/>
          <w:lang w:val="en-US" w:eastAsia="zh-CN" w:bidi="ar"/>
          <w14:textFill>
            <w14:solidFill>
              <w14:schemeClr w14:val="tx1"/>
            </w14:solidFill>
          </w14:textFill>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2"/>
            <w:tabs>
              <w:tab w:val="right" w:leader="dot" w:pos="8845"/>
            </w:tabs>
          </w:pPr>
          <w:r>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instrText xml:space="preserve">TOC \o "1-3" \h \u </w:instrText>
          </w:r>
          <w:r>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fldChar w:fldCharType="separate"/>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_Toc29525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方正小标宋简体" w:hAnsi="方正小标宋简体" w:eastAsia="方正小标宋简体" w:cs="方正小标宋简体"/>
              <w:kern w:val="2"/>
              <w:szCs w:val="44"/>
              <w:lang w:val="en-US" w:eastAsia="zh-CN" w:bidi="ar-SA"/>
            </w:rPr>
            <w:t xml:space="preserve">第一部分  </w:t>
          </w:r>
          <w:r>
            <w:rPr>
              <w:rFonts w:hint="eastAsia" w:ascii="方正小标宋简体" w:hAnsi="方正小标宋简体" w:eastAsia="方正小标宋简体" w:cs="方正小标宋简体"/>
              <w:bCs w:val="0"/>
              <w:i w:val="0"/>
              <w:caps w:val="0"/>
              <w:spacing w:val="0"/>
              <w:kern w:val="0"/>
              <w:szCs w:val="44"/>
              <w:highlight w:val="none"/>
              <w:shd w:val="clear" w:color="auto" w:fill="FFFFFF"/>
              <w:lang w:val="en-US" w:eastAsia="zh-CN" w:bidi="ar"/>
            </w:rPr>
            <w:t>广元市文化广播电视和旅游局</w:t>
          </w:r>
          <w:r>
            <w:rPr>
              <w:rFonts w:hint="eastAsia" w:ascii="方正小标宋简体" w:hAnsi="方正小标宋简体" w:eastAsia="方正小标宋简体" w:cs="方正小标宋简体"/>
              <w:szCs w:val="44"/>
              <w:lang w:val="en-US" w:eastAsia="zh-CN"/>
            </w:rPr>
            <w:t>概况</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_Toc24147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一、基本职能及主要工作</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_Toc10473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二、部门预算单位构成</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2"/>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_Toc25093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方正小标宋简体" w:hAnsi="方正小标宋简体" w:eastAsia="方正小标宋简体" w:cs="方正小标宋简体"/>
              <w:bCs w:val="0"/>
              <w:i w:val="0"/>
              <w:caps w:val="0"/>
              <w:spacing w:val="0"/>
              <w:kern w:val="0"/>
              <w:szCs w:val="44"/>
              <w:shd w:val="clear" w:fill="FFFFFF"/>
              <w:lang w:val="en-US" w:eastAsia="zh-CN" w:bidi="ar"/>
            </w:rPr>
            <w:t xml:space="preserve">第二部分  </w:t>
          </w:r>
          <w:r>
            <w:rPr>
              <w:rFonts w:hint="eastAsia" w:ascii="方正小标宋简体" w:hAnsi="方正小标宋简体" w:eastAsia="方正小标宋简体" w:cs="方正小标宋简体"/>
              <w:bCs w:val="0"/>
              <w:i w:val="0"/>
              <w:caps w:val="0"/>
              <w:spacing w:val="0"/>
              <w:kern w:val="0"/>
              <w:szCs w:val="44"/>
              <w:highlight w:val="none"/>
              <w:shd w:val="clear" w:color="auto" w:fill="FFFFFF"/>
              <w:lang w:val="en-US" w:eastAsia="zh-CN" w:bidi="ar"/>
            </w:rPr>
            <w:t>广元市文化广播电视和旅游局</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_Toc21847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方正小标宋简体" w:hAnsi="方正小标宋简体" w:eastAsia="方正小标宋简体" w:cs="方正小标宋简体"/>
              <w:bCs w:val="0"/>
              <w:i w:val="0"/>
              <w:caps w:val="0"/>
              <w:spacing w:val="0"/>
              <w:kern w:val="0"/>
              <w:szCs w:val="44"/>
              <w:highlight w:val="none"/>
              <w:shd w:val="clear" w:color="auto" w:fill="FFFFFF"/>
              <w:lang w:val="en-US" w:eastAsia="zh-CN" w:bidi="ar"/>
            </w:rPr>
            <w:t>2025年单位预算情况说明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_Toc16163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一、收支预算情况说明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_Toc17457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二、财政拨款收支预算情况说明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_Toc17350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三、一般公共预算当年拨款情况说明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_Toc10749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四、一般公共预算基本支出情况说明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_Toc1843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五、“三公”经费财政拨款预算安排情况说明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_Toc7558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六、政府性基金预算支出情况说明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_Toc8239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七、国有资本经营预算支出情况说明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9"/>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_Toc6102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黑体" w:hAnsi="黑体" w:eastAsia="黑体" w:cs="黑体"/>
              <w:szCs w:val="32"/>
              <w:lang w:val="en-US" w:eastAsia="zh-CN"/>
            </w:rPr>
            <w:t>八、其他重要事项的情况说明</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2"/>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_Toc6318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方正小标宋简体" w:hAnsi="方正小标宋简体" w:eastAsia="方正小标宋简体" w:cs="方正小标宋简体"/>
              <w:bCs w:val="0"/>
              <w:i w:val="0"/>
              <w:caps w:val="0"/>
              <w:spacing w:val="0"/>
              <w:kern w:val="0"/>
              <w:szCs w:val="44"/>
              <w:shd w:val="clear" w:fill="FFFFFF"/>
              <w:lang w:val="en-US" w:eastAsia="zh-CN" w:bidi="ar"/>
            </w:rPr>
            <w:t xml:space="preserve">第三部分 </w:t>
          </w:r>
          <w:r>
            <w:rPr>
              <w:rFonts w:hint="eastAsia" w:ascii="方正小标宋简体" w:hAnsi="方正小标宋简体" w:eastAsia="方正小标宋简体" w:cs="方正小标宋简体"/>
              <w:bCs w:val="0"/>
              <w:i w:val="0"/>
              <w:caps w:val="0"/>
              <w:spacing w:val="0"/>
              <w:kern w:val="0"/>
              <w:szCs w:val="44"/>
              <w:highlight w:val="none"/>
              <w:shd w:val="clear" w:color="auto" w:fill="FFFFFF"/>
              <w:lang w:val="en-US" w:eastAsia="zh-CN" w:bidi="ar"/>
            </w:rPr>
            <w:t>名词解释</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pStyle w:val="2"/>
            <w:tabs>
              <w:tab w:val="right" w:leader="dot" w:pos="8845"/>
            </w:tabs>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_Toc14415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方正小标宋简体" w:hAnsi="方正小标宋简体" w:eastAsia="方正小标宋简体" w:cs="方正小标宋简体"/>
              <w:bCs w:val="0"/>
              <w:i w:val="0"/>
              <w:caps w:val="0"/>
              <w:spacing w:val="0"/>
              <w:kern w:val="0"/>
              <w:szCs w:val="44"/>
              <w:shd w:val="clear" w:fill="FFFFFF"/>
              <w:lang w:val="en-US" w:eastAsia="zh-CN" w:bidi="ar"/>
            </w:rPr>
            <w:t xml:space="preserve">第四部分  </w:t>
          </w:r>
          <w:r>
            <w:rPr>
              <w:rFonts w:hint="eastAsia" w:ascii="方正小标宋简体" w:hAnsi="方正小标宋简体" w:eastAsia="方正小标宋简体" w:cs="方正小标宋简体"/>
              <w:bCs w:val="0"/>
              <w:i w:val="0"/>
              <w:caps w:val="0"/>
              <w:spacing w:val="0"/>
              <w:kern w:val="0"/>
              <w:szCs w:val="44"/>
              <w:highlight w:val="none"/>
              <w:shd w:val="clear" w:color="auto" w:fill="FFFFFF"/>
              <w:lang w:val="en-US" w:eastAsia="zh-CN" w:bidi="ar"/>
            </w:rPr>
            <w:t>广元市文化广播电视和旅游局</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begin"/>
          </w:r>
          <w:r>
            <w:rPr>
              <w:rFonts w:hint="eastAsia" w:ascii="宋体" w:hAnsi="宋体" w:eastAsia="宋体" w:cs="宋体"/>
              <w:i w:val="0"/>
              <w:caps w:val="0"/>
              <w:spacing w:val="0"/>
              <w:kern w:val="0"/>
              <w:szCs w:val="28"/>
              <w:highlight w:val="none"/>
              <w:shd w:val="clear" w:color="auto" w:fill="FFFFFF"/>
              <w:lang w:val="en-US" w:eastAsia="zh-CN" w:bidi="ar"/>
            </w:rPr>
            <w:instrText xml:space="preserve"> HYPERLINK \l _Toc23491 </w:instrText>
          </w:r>
          <w:r>
            <w:rPr>
              <w:rFonts w:hint="eastAsia" w:ascii="宋体" w:hAnsi="宋体" w:eastAsia="宋体" w:cs="宋体"/>
              <w:i w:val="0"/>
              <w:caps w:val="0"/>
              <w:spacing w:val="0"/>
              <w:kern w:val="0"/>
              <w:szCs w:val="28"/>
              <w:highlight w:val="none"/>
              <w:shd w:val="clear" w:color="auto" w:fill="FFFFFF"/>
              <w:lang w:val="en-US" w:eastAsia="zh-CN" w:bidi="ar"/>
            </w:rPr>
            <w:fldChar w:fldCharType="separate"/>
          </w:r>
          <w:r>
            <w:rPr>
              <w:rFonts w:hint="eastAsia" w:ascii="方正小标宋简体" w:hAnsi="方正小标宋简体" w:eastAsia="方正小标宋简体" w:cs="方正小标宋简体"/>
              <w:bCs w:val="0"/>
              <w:i w:val="0"/>
              <w:caps w:val="0"/>
              <w:spacing w:val="0"/>
              <w:kern w:val="0"/>
              <w:szCs w:val="44"/>
              <w:highlight w:val="none"/>
              <w:shd w:val="clear" w:color="auto" w:fill="FFFFFF"/>
              <w:lang w:val="en-US" w:eastAsia="zh-CN" w:bidi="ar"/>
            </w:rPr>
            <w:t>2025年单位预算表</w:t>
          </w: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宋体" w:hAnsi="宋体" w:eastAsia="宋体" w:cs="宋体"/>
              <w:i w:val="0"/>
              <w:caps w:val="0"/>
              <w:color w:val="000000" w:themeColor="text1"/>
              <w:spacing w:val="0"/>
              <w:kern w:val="0"/>
              <w:szCs w:val="28"/>
              <w:highlight w:val="none"/>
              <w:shd w:val="clear" w:color="auto" w:fill="FFFFFF"/>
              <w:lang w:val="en-US" w:eastAsia="zh-CN" w:bidi="ar"/>
              <w14:textFill>
                <w14:solidFill>
                  <w14:schemeClr w14:val="tx1"/>
                </w14:solidFill>
              </w14:textFill>
            </w:rPr>
            <w:fldChar w:fldCharType="end"/>
          </w:r>
          <w:r>
            <w:rPr>
              <w:rFonts w:hint="eastAsia" w:ascii="黑体" w:hAnsi="黑体" w:eastAsia="黑体" w:cs="黑体"/>
              <w:color w:val="auto"/>
              <w:kern w:val="2"/>
              <w:sz w:val="21"/>
              <w:szCs w:val="32"/>
              <w:lang w:val="en-US" w:eastAsia="zh-CN" w:bidi="ar-SA"/>
            </w:rPr>
            <w:t xml:space="preserve">一、部门收支总表 </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二、部门收入总表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三、部门支出总表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四、财政拨款收支预算总表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default"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五、财政拨款支出预算表（部门经济分类科目）</w:t>
          </w:r>
        </w:p>
        <w:p>
          <w:pPr>
            <w:keepNext w:val="0"/>
            <w:keepLines w:val="0"/>
            <w:pageBreakBefore w:val="0"/>
            <w:widowControl w:val="0"/>
            <w:numPr>
              <w:ilvl w:val="0"/>
              <w:numId w:val="0"/>
            </w:numPr>
            <w:kinsoku/>
            <w:wordWrap/>
            <w:overflowPunct/>
            <w:topLinePunct w:val="0"/>
            <w:autoSpaceDE/>
            <w:autoSpaceDN/>
            <w:bidi w:val="0"/>
            <w:adjustRightInd/>
            <w:snapToGrid/>
            <w:ind w:left="420" w:leftChars="200" w:firstLine="0" w:firstLineChars="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六、一般公共预算支出预算表</w:t>
          </w:r>
        </w:p>
        <w:p>
          <w:pPr>
            <w:keepNext w:val="0"/>
            <w:keepLines w:val="0"/>
            <w:pageBreakBefore w:val="0"/>
            <w:widowControl w:val="0"/>
            <w:numPr>
              <w:ilvl w:val="0"/>
              <w:numId w:val="0"/>
            </w:numPr>
            <w:kinsoku/>
            <w:wordWrap/>
            <w:overflowPunct/>
            <w:topLinePunct w:val="0"/>
            <w:autoSpaceDE/>
            <w:autoSpaceDN/>
            <w:bidi w:val="0"/>
            <w:adjustRightInd/>
            <w:snapToGrid/>
            <w:ind w:left="420" w:leftChars="200" w:firstLine="0" w:firstLineChars="0"/>
            <w:textAlignment w:val="auto"/>
            <w:outlineLvl w:val="8"/>
            <w:rPr>
              <w:rFonts w:hint="default"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七、一般公共预算基本支出预算表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default"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八、一般公共预算项目支出预算表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default"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九、一般公共预算“三公”经费支出预算表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十、政府性基金预算支出预算表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default"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十一、政府性基金预算“三公”经费支出预算表</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 xml:space="preserve">十二、国有资本经营预算支出预算表 </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outlineLvl w:val="8"/>
            <w:rPr>
              <w:rFonts w:hint="eastAsia" w:ascii="黑体" w:hAnsi="黑体" w:eastAsia="黑体" w:cs="黑体"/>
              <w:color w:val="auto"/>
              <w:kern w:val="2"/>
              <w:sz w:val="21"/>
              <w:szCs w:val="32"/>
              <w:lang w:val="en-US" w:eastAsia="zh-CN" w:bidi="ar-SA"/>
            </w:rPr>
          </w:pPr>
          <w:r>
            <w:rPr>
              <w:rFonts w:hint="eastAsia" w:ascii="黑体" w:hAnsi="黑体" w:eastAsia="黑体" w:cs="黑体"/>
              <w:color w:val="auto"/>
              <w:kern w:val="2"/>
              <w:sz w:val="21"/>
              <w:szCs w:val="32"/>
              <w:lang w:val="en-US" w:eastAsia="zh-CN" w:bidi="ar-SA"/>
            </w:rPr>
            <w:t xml:space="preserve">十三、部门预算项目支出绩效目标表 </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right="0"/>
            <w:jc w:val="both"/>
            <w:rPr>
              <w:rFonts w:hint="eastAsia" w:ascii="宋体" w:hAnsi="宋体" w:eastAsia="宋体" w:cs="宋体"/>
              <w:i w:val="0"/>
              <w:caps w:val="0"/>
              <w:color w:val="000000" w:themeColor="text1"/>
              <w:spacing w:val="0"/>
              <w:kern w:val="0"/>
              <w:sz w:val="24"/>
              <w:szCs w:val="28"/>
              <w:highlight w:val="none"/>
              <w:shd w:val="clear" w:color="auto" w:fill="FFFFFF"/>
              <w:lang w:val="en-US" w:eastAsia="zh-CN" w:bidi="ar"/>
              <w14:textFill>
                <w14:solidFill>
                  <w14:schemeClr w14:val="tx1"/>
                </w14:solidFill>
              </w14:textFill>
            </w:rPr>
          </w:pPr>
        </w:p>
      </w:sdtContent>
    </w:sdt>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leftChars="0" w:right="0" w:rightChars="0" w:firstLine="0" w:firstLineChars="0"/>
        <w:jc w:val="center"/>
        <w:textAlignment w:val="center"/>
        <w:outlineLvl w:val="0"/>
        <w:rPr>
          <w:rFonts w:hint="eastAsia" w:ascii="方正小标宋简体" w:hAnsi="方正小标宋简体" w:eastAsia="方正小标宋简体" w:cs="方正小标宋简体"/>
          <w:sz w:val="44"/>
          <w:szCs w:val="44"/>
          <w:lang w:val="en-US" w:eastAsia="zh-CN"/>
        </w:rPr>
      </w:pPr>
      <w:bookmarkStart w:id="0" w:name="_Toc29525"/>
      <w:r>
        <w:rPr>
          <w:rFonts w:hint="eastAsia" w:ascii="方正小标宋简体" w:hAnsi="方正小标宋简体" w:eastAsia="方正小标宋简体" w:cs="方正小标宋简体"/>
          <w:color w:val="auto"/>
          <w:kern w:val="2"/>
          <w:sz w:val="44"/>
          <w:szCs w:val="44"/>
          <w:lang w:val="en-US" w:eastAsia="zh-CN" w:bidi="ar-SA"/>
        </w:rPr>
        <w:t xml:space="preserve">第一部分  </w:t>
      </w: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广元市文化广播电视和旅游局</w:t>
      </w:r>
      <w:r>
        <w:rPr>
          <w:rFonts w:hint="eastAsia" w:ascii="方正小标宋简体" w:hAnsi="方正小标宋简体" w:eastAsia="方正小标宋简体" w:cs="方正小标宋简体"/>
          <w:sz w:val="44"/>
          <w:szCs w:val="44"/>
          <w:lang w:val="en-US" w:eastAsia="zh-CN"/>
        </w:rPr>
        <w:t>概况</w:t>
      </w:r>
      <w:bookmarkEnd w:id="0"/>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type w:val="continuous"/>
          <w:pgSz w:w="11906" w:h="16838"/>
          <w:pgMar w:top="2098" w:right="1474" w:bottom="1984" w:left="1587" w:header="720" w:footer="1559"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1" w:name="_Toc24147"/>
      <w:r>
        <w:rPr>
          <w:rFonts w:hint="eastAsia" w:ascii="黑体" w:hAnsi="黑体" w:eastAsia="黑体" w:cs="黑体"/>
          <w:sz w:val="32"/>
          <w:szCs w:val="32"/>
          <w:lang w:val="en-US" w:eastAsia="zh-CN"/>
        </w:rPr>
        <w:t>一、基本职能及主要工作</w:t>
      </w:r>
      <w:bookmarkEnd w:id="1"/>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楷体_GB2312" w:hAnsi="楷体_GB2312" w:eastAsia="楷体_GB2312" w:cs="楷体_GB2312"/>
          <w:color w:val="auto"/>
          <w:sz w:val="32"/>
          <w:szCs w:val="32"/>
        </w:rPr>
      </w:pPr>
      <w:bookmarkStart w:id="2" w:name="_Toc6221"/>
      <w:bookmarkStart w:id="3" w:name="_Toc15734"/>
      <w:bookmarkStart w:id="4" w:name="_Toc31610"/>
      <w:r>
        <w:rPr>
          <w:rFonts w:hint="eastAsia" w:ascii="楷体_GB2312" w:hAnsi="楷体_GB2312" w:eastAsia="楷体_GB2312" w:cs="楷体_GB2312"/>
          <w:color w:val="auto"/>
          <w:sz w:val="32"/>
          <w:szCs w:val="32"/>
        </w:rPr>
        <w:t>（一）</w:t>
      </w:r>
      <w:r>
        <w:rPr>
          <w:rFonts w:hint="eastAsia" w:ascii="楷体_GB2312" w:hAnsi="楷体_GB2312" w:eastAsia="楷体_GB2312" w:cs="楷体_GB2312"/>
          <w:color w:val="auto"/>
          <w:sz w:val="32"/>
          <w:szCs w:val="32"/>
          <w:lang w:val="en-US" w:eastAsia="zh-CN"/>
        </w:rPr>
        <w:t>广元市文化广播电视和旅游局</w:t>
      </w:r>
      <w:r>
        <w:rPr>
          <w:rFonts w:hint="eastAsia" w:ascii="楷体_GB2312" w:hAnsi="楷体_GB2312" w:eastAsia="楷体_GB2312" w:cs="楷体_GB2312"/>
          <w:color w:val="auto"/>
          <w:sz w:val="32"/>
          <w:szCs w:val="32"/>
        </w:rPr>
        <w:t>职能简介</w:t>
      </w:r>
      <w:bookmarkEnd w:id="2"/>
      <w:bookmarkEnd w:id="3"/>
      <w:bookmarkEnd w:id="4"/>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rPr>
        <w:t>1．主要职能。</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贯彻执行党和国家有关文化、旅游、广播电视和文物工作的方针政策和法律法规，拟订相关政策措施并组织实施，起草有关地方性法规、规章草案，负责本部门依法行政工作。制定文化旅游产业发展的地方标准和行业规范并组织实施。</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2</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组织推动全市文化事业、文化产业、旅游业、广播电视事业和文物事业发展，拟订发展规划并组织实施。统筹中国生态康养旅游名市建设工作，推进全域旅游。推进文化和旅游体制机制改革，推进文化和旅游融合发展。</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3</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管理全市性重大文化、旅游、广播电视和文物活动，指导推进相关设施建设。</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4</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指导管理文化艺术事业，推动艺术创作生产，扶持体现社会主义核心价值观、具有导向性代表性示范性的文艺作品，推动各门类艺术、各艺术品种发展，推动中华优秀传统文化、巴蜀文化和广元特色文化传承发展。</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5</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负责公共文化和广播电视事业发展，推进全市公共文化和广播电视服务体系建设及旅游公共服务建设，深入实施文化旅游和广播电视惠民工程，统筹推进基本公共服务标准化、均等化。</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6</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组织实施文化和旅游资源普查、挖掘、保护与利用工作，监测文化旅游经济运行，促进文化旅游产业发展。推进文化和旅游科技创新发展，推进文化和旅游行业信息化、标准化建设。负责文化旅游科技教育培训和人才培养工作。</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7</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负责非物质文化遗产保护，推动非物质文化遗产的保护、传承、普及、弘扬和振兴。</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8</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管理和指导全市文物保护利用与考古工作。组织文物资源调查。负责组织遴选、申报市级（含市级）以上文物保护单位，指导地方文物保护单位申报等工作。推动全市文物和博物馆公共服务体系建设，指导监督博物馆和社会文物工作。组织实施申遗及管理工作。</w:t>
      </w:r>
    </w:p>
    <w:p>
      <w:pPr>
        <w:snapToGrid w:val="0"/>
        <w:spacing w:line="520" w:lineRule="exact"/>
        <w:ind w:firstLine="640" w:firstLineChars="200"/>
        <w:rPr>
          <w:rFonts w:hint="eastAsia" w:ascii="仿宋_GB2312" w:hAnsi="仿宋" w:eastAsia="仿宋_GB2312"/>
          <w:color w:val="auto"/>
          <w:sz w:val="32"/>
          <w:szCs w:val="32"/>
          <w:lang w:eastAsia="zh-CN"/>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9</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指导文化和旅游市场发展，对文化和旅游市场进行行业监管，推进文化和旅游行业信用体系建设，依法规范文化和旅游市场。</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10</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负责文化、旅游、广播电视和文物系统安全生产工作的综合协调与监督管理，对广播电视和文物系统、文化旅游园区、新业态安全生产和职业健康工作实施行业监督管理。制定职责范围内的安全生产年度监督检查计划并组织实施。</w:t>
      </w:r>
    </w:p>
    <w:p>
      <w:pPr>
        <w:snapToGrid w:val="0"/>
        <w:spacing w:line="520" w:lineRule="exact"/>
        <w:ind w:firstLine="640" w:firstLineChars="200"/>
        <w:rPr>
          <w:rFonts w:hint="eastAsia" w:ascii="仿宋_GB2312" w:hAnsi="仿宋" w:eastAsia="仿宋_GB2312"/>
          <w:color w:val="auto"/>
          <w:sz w:val="32"/>
          <w:szCs w:val="32"/>
          <w:lang w:eastAsia="zh-CN"/>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11</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统筹全市文化市场综合执法工作，组织查处全市性、跨区域及辖区内文化、旅游、广播电视和文物等市场的违法行为，加强行业监管和督查督办，维护市场秩序。</w:t>
      </w:r>
    </w:p>
    <w:p>
      <w:pPr>
        <w:snapToGrid w:val="0"/>
        <w:spacing w:line="520" w:lineRule="exact"/>
        <w:ind w:firstLine="640" w:firstLineChars="200"/>
        <w:rPr>
          <w:rFonts w:hint="eastAsia" w:ascii="仿宋_GB2312" w:hAnsi="仿宋" w:eastAsia="仿宋_GB2312"/>
          <w:color w:val="auto"/>
          <w:sz w:val="32"/>
          <w:szCs w:val="32"/>
          <w:lang w:eastAsia="zh-CN"/>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12</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制订全市文化旅游客源市场开发战略并组织实施，组织广元整体文化旅游形象对外宣传和重大推广活动。</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13</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指导全市广播电视宣传和创作题材规划，监督管理全市广播电视节目、信息网络视听节目和公共视听载体播放的视听节目，审查其内容和质量，负责全市广播电视节目的进口和收录管理。负责推进广播电视与新媒体新技术新业态融合发展，推进广电网与电信网、互联网三网融合。</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14</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负责对各类广播电视机构进行业务指导和行业监管，会同有关部门对网络视听节目服务机构进行管理。指导全市广播电视科技工作，负责全市广播电视节目传输、监测、安全播出和广播电视、信息网络视听节目服务机构及业务的监管，指导对从事广播电视节目制作民办机构的监管工作。</w:t>
      </w:r>
    </w:p>
    <w:p>
      <w:pPr>
        <w:snapToGrid w:val="0"/>
        <w:spacing w:line="520" w:lineRule="exact"/>
        <w:ind w:firstLine="640" w:firstLineChars="200"/>
        <w:rPr>
          <w:rFonts w:hint="eastAsia" w:ascii="仿宋_GB2312" w:hAnsi="仿宋" w:eastAsia="仿宋_GB2312"/>
          <w:color w:val="auto"/>
          <w:sz w:val="32"/>
          <w:szCs w:val="32"/>
          <w:lang w:eastAsia="zh-CN"/>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15</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负责职责范围内的生态环境保护、审批服务便民化等工作。</w:t>
      </w:r>
    </w:p>
    <w:p>
      <w:pPr>
        <w:snapToGrid w:val="0"/>
        <w:spacing w:line="520" w:lineRule="exact"/>
        <w:ind w:firstLine="640" w:firstLineChars="200"/>
        <w:rPr>
          <w:rFonts w:hint="eastAsia" w:ascii="仿宋_GB2312" w:hAnsi="仿宋" w:eastAsia="仿宋_GB2312"/>
          <w:color w:val="auto"/>
          <w:sz w:val="32"/>
          <w:szCs w:val="32"/>
          <w:lang w:eastAsia="zh-CN"/>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16</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完成市委、市政府交办的其他任务。</w:t>
      </w:r>
    </w:p>
    <w:p>
      <w:pPr>
        <w:snapToGrid w:val="0"/>
        <w:spacing w:line="520" w:lineRule="exact"/>
        <w:ind w:firstLine="640" w:firstLineChars="200"/>
        <w:rPr>
          <w:rFonts w:hint="eastAsia" w:ascii="楷体_GB2312" w:hAnsi="楷体_GB2312" w:eastAsia="楷体_GB2312" w:cs="楷体_GB2312"/>
          <w:color w:val="auto"/>
          <w:sz w:val="32"/>
          <w:szCs w:val="32"/>
        </w:rPr>
      </w:pP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17</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职能转变。以人民美好生活为引导，统筹推进文化事业、文化产业、旅游业、广播电视事业融合发展和文物保护利用传承。用好文化创意、科技创新和社会投资等新动能，促进文化、旅游、广播电视和文物与相关产业融合发展。巩固旅游业的战略性支柱产业地位，提升国家文化软实力、国际旅游竞争力。</w:t>
      </w:r>
    </w:p>
    <w:p>
      <w:pPr>
        <w:spacing w:line="550" w:lineRule="exact"/>
        <w:ind w:firstLine="640" w:firstLineChars="200"/>
        <w:outlineLvl w:val="1"/>
        <w:rPr>
          <w:rFonts w:hint="eastAsia" w:ascii="楷体_GB2312" w:hAnsi="楷体_GB2312" w:eastAsia="楷体_GB2312" w:cs="楷体_GB2312"/>
          <w:color w:val="auto"/>
          <w:sz w:val="32"/>
          <w:szCs w:val="32"/>
          <w:highlight w:val="none"/>
        </w:rPr>
      </w:pPr>
      <w:bookmarkStart w:id="5" w:name="_Toc19924"/>
      <w:bookmarkStart w:id="6" w:name="_Toc28465"/>
      <w:bookmarkStart w:id="7" w:name="_Toc25996"/>
      <w:bookmarkStart w:id="8" w:name="_Toc29262"/>
      <w:r>
        <w:rPr>
          <w:rFonts w:hint="eastAsia" w:ascii="楷体_GB2312" w:hAnsi="楷体_GB2312" w:eastAsia="楷体_GB2312" w:cs="楷体_GB2312"/>
          <w:color w:val="auto"/>
          <w:sz w:val="32"/>
          <w:szCs w:val="32"/>
          <w:highlight w:val="none"/>
        </w:rPr>
        <w:t>（二）广元市文化广播电视和旅游局2025年重点工作</w:t>
      </w:r>
      <w:bookmarkEnd w:id="5"/>
      <w:bookmarkEnd w:id="6"/>
      <w:bookmarkEnd w:id="7"/>
      <w:bookmarkEnd w:id="8"/>
    </w:p>
    <w:p>
      <w:pPr>
        <w:spacing w:line="576"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2025年，我们将深入学习贯彻党的二十届三中全会精神和省委十二届六次全会、市委八届十次全会精神，聚焦建设社会主义文化强国，围绕深化文化体制机制改革主线，着力构建高品质文化供给体系和文化传承创新体系，大力发展文旅康养产业，加快建设大蜀道国际文化旅游目的地和康养度假胜地。</w:t>
      </w:r>
    </w:p>
    <w:p>
      <w:pPr>
        <w:spacing w:line="576" w:lineRule="exact"/>
        <w:ind w:firstLine="640" w:firstLineChars="200"/>
        <w:rPr>
          <w:rFonts w:ascii="仿宋_GB2312" w:eastAsia="仿宋_GB2312"/>
          <w:color w:val="auto"/>
          <w:sz w:val="32"/>
          <w:szCs w:val="32"/>
          <w:highlight w:val="none"/>
        </w:rPr>
      </w:pPr>
      <w:r>
        <w:rPr>
          <w:rFonts w:hint="eastAsia" w:ascii="楷体_GB2312" w:eastAsia="楷体_GB2312"/>
          <w:color w:val="auto"/>
          <w:sz w:val="32"/>
          <w:szCs w:val="32"/>
          <w:highlight w:val="none"/>
        </w:rPr>
        <w:t>1.在保护传承文化上再发力。</w:t>
      </w:r>
      <w:r>
        <w:rPr>
          <w:rFonts w:hint="eastAsia" w:ascii="仿宋_GB2312" w:eastAsia="仿宋_GB2312"/>
          <w:b/>
          <w:color w:val="auto"/>
          <w:sz w:val="32"/>
          <w:szCs w:val="32"/>
          <w:highlight w:val="none"/>
        </w:rPr>
        <w:t>全面推进蜀道保护利用。</w:t>
      </w:r>
      <w:r>
        <w:rPr>
          <w:rFonts w:hint="eastAsia" w:ascii="仿宋_GB2312" w:eastAsia="仿宋_GB2312"/>
          <w:bCs/>
          <w:color w:val="auto"/>
          <w:sz w:val="32"/>
          <w:szCs w:val="32"/>
          <w:highlight w:val="none"/>
        </w:rPr>
        <w:t>深入开展第四次全国文物普查和“考古中国”重大项目蜀道考古研究，加快建设蜀道（金牛道）文物主题游径，推进广元石窟寺及石刻保护地方立法，</w:t>
      </w:r>
      <w:r>
        <w:rPr>
          <w:rFonts w:hint="eastAsia" w:ascii="仿宋_GB2312" w:eastAsia="仿宋_GB2312"/>
          <w:color w:val="auto"/>
          <w:sz w:val="32"/>
          <w:szCs w:val="32"/>
          <w:highlight w:val="none"/>
        </w:rPr>
        <w:t>积极</w:t>
      </w:r>
      <w:r>
        <w:rPr>
          <w:rFonts w:hint="eastAsia" w:ascii="仿宋_GB2312" w:eastAsia="仿宋_GB2312"/>
          <w:bCs/>
          <w:color w:val="auto"/>
          <w:sz w:val="32"/>
          <w:szCs w:val="32"/>
          <w:highlight w:val="none"/>
        </w:rPr>
        <w:t>推动</w:t>
      </w:r>
      <w:r>
        <w:rPr>
          <w:rFonts w:hint="eastAsia" w:ascii="仿宋_GB2312" w:eastAsia="仿宋_GB2312"/>
          <w:color w:val="auto"/>
          <w:sz w:val="32"/>
          <w:szCs w:val="32"/>
          <w:highlight w:val="none"/>
        </w:rPr>
        <w:t>蜀道、宋元山城遗址申遗，</w:t>
      </w:r>
      <w:r>
        <w:rPr>
          <w:rFonts w:hint="eastAsia" w:ascii="仿宋_GB2312" w:eastAsia="仿宋_GB2312"/>
          <w:bCs/>
          <w:color w:val="auto"/>
          <w:sz w:val="32"/>
          <w:szCs w:val="32"/>
          <w:highlight w:val="none"/>
        </w:rPr>
        <w:t>着力将蜀道打造成世界级文旅大IP。</w:t>
      </w:r>
      <w:r>
        <w:rPr>
          <w:rFonts w:hint="eastAsia" w:ascii="仿宋_GB2312" w:eastAsia="仿宋_GB2312"/>
          <w:b/>
          <w:color w:val="auto"/>
          <w:sz w:val="32"/>
          <w:szCs w:val="32"/>
          <w:highlight w:val="none"/>
        </w:rPr>
        <w:t>全面建强博物馆体系。</w:t>
      </w:r>
      <w:r>
        <w:rPr>
          <w:rFonts w:hint="eastAsia" w:ascii="仿宋_GB2312" w:eastAsia="仿宋_GB2312"/>
          <w:color w:val="auto"/>
          <w:sz w:val="32"/>
          <w:szCs w:val="32"/>
          <w:highlight w:val="none"/>
        </w:rPr>
        <w:t>持续推进广元市博物馆迁建项目，督促指导蜀道博物馆、青川博物馆等特色博物馆建设，实施中小博物馆提升计划，推进博物馆总分馆改革，打造特色鲜明的精品陈列和临时展览。</w:t>
      </w:r>
      <w:r>
        <w:rPr>
          <w:rFonts w:hint="eastAsia" w:ascii="仿宋_GB2312" w:eastAsia="仿宋_GB2312"/>
          <w:b/>
          <w:bCs/>
          <w:color w:val="auto"/>
          <w:sz w:val="32"/>
          <w:szCs w:val="32"/>
          <w:highlight w:val="none"/>
        </w:rPr>
        <w:t>全面构建高品质文化供给体系。</w:t>
      </w:r>
      <w:r>
        <w:rPr>
          <w:rFonts w:hint="eastAsia" w:ascii="仿宋_GB2312" w:eastAsia="仿宋_GB2312"/>
          <w:color w:val="auto"/>
          <w:sz w:val="32"/>
          <w:szCs w:val="32"/>
          <w:highlight w:val="none"/>
        </w:rPr>
        <w:t>完善市县乡村四级公共文化服务网络，擦亮“书香广元·全民阅读”品牌，办好第二届群众合唱音乐季、百姓大舞台等群众性文化活动，加快打造城市“15分钟文化圈”和农村“10里文化圈”。开展音乐舞蹈、戏曲曲艺、书法美术艺术精品创作，深化国有文艺院团改革，完善重大文艺项目扶持和精品创作奖励办法。大力实施智慧广电乡村工程建设，扎实推进广电惠民工作，切实抓好广播电视安全播出、境外卫星电视管理，组织创作一批广播电视和网络视听精品创作，积极申报国家、省级奖励。</w:t>
      </w:r>
    </w:p>
    <w:p>
      <w:pPr>
        <w:spacing w:line="576" w:lineRule="exact"/>
        <w:ind w:firstLine="640" w:firstLineChars="200"/>
        <w:rPr>
          <w:rFonts w:ascii="仿宋_GB2312" w:eastAsia="仿宋_GB2312"/>
          <w:color w:val="auto"/>
          <w:sz w:val="32"/>
          <w:szCs w:val="32"/>
          <w:highlight w:val="none"/>
        </w:rPr>
      </w:pPr>
      <w:r>
        <w:rPr>
          <w:rFonts w:hint="eastAsia" w:ascii="楷体_GB2312" w:eastAsia="楷体_GB2312"/>
          <w:color w:val="auto"/>
          <w:sz w:val="32"/>
          <w:szCs w:val="32"/>
          <w:highlight w:val="none"/>
        </w:rPr>
        <w:t>2.在壮大文旅产业上再发力。</w:t>
      </w:r>
      <w:r>
        <w:rPr>
          <w:rFonts w:hint="eastAsia" w:ascii="仿宋_GB2312" w:eastAsia="仿宋_GB2312"/>
          <w:b/>
          <w:color w:val="auto"/>
          <w:sz w:val="32"/>
          <w:szCs w:val="32"/>
          <w:highlight w:val="none"/>
        </w:rPr>
        <w:t>聚焦项目招引建设，</w:t>
      </w:r>
      <w:r>
        <w:rPr>
          <w:rFonts w:hint="eastAsia" w:ascii="仿宋_GB2312" w:eastAsia="仿宋_GB2312"/>
          <w:color w:val="auto"/>
          <w:sz w:val="32"/>
          <w:szCs w:val="32"/>
          <w:highlight w:val="none"/>
        </w:rPr>
        <w:t>定期调度2025年大蜀道文化旅游暨生态产业投资大会签约的重点文旅项目，持续推进大蜀道剑门关旅游区基础设施项目、米仓山大峡谷旅游景区项目、昭化古城创建国家5A级旅游景区一期工程等重点在建项目建设。</w:t>
      </w:r>
      <w:r>
        <w:rPr>
          <w:rFonts w:hint="eastAsia" w:ascii="仿宋_GB2312" w:eastAsia="仿宋_GB2312"/>
          <w:b/>
          <w:color w:val="auto"/>
          <w:sz w:val="32"/>
          <w:szCs w:val="32"/>
          <w:highlight w:val="none"/>
        </w:rPr>
        <w:t>激</w:t>
      </w:r>
      <w:r>
        <w:rPr>
          <w:rFonts w:hint="eastAsia" w:ascii="仿宋_GB2312" w:eastAsia="仿宋_GB2312"/>
          <w:b/>
          <w:bCs/>
          <w:color w:val="auto"/>
          <w:sz w:val="32"/>
          <w:szCs w:val="32"/>
          <w:highlight w:val="none"/>
        </w:rPr>
        <w:t>发市场主体活力，</w:t>
      </w:r>
      <w:r>
        <w:rPr>
          <w:rFonts w:hint="eastAsia" w:ascii="仿宋_GB2312" w:eastAsia="仿宋_GB2312"/>
          <w:color w:val="auto"/>
          <w:sz w:val="32"/>
          <w:szCs w:val="32"/>
          <w:highlight w:val="none"/>
        </w:rPr>
        <w:t>围绕2025年“两项经济指标”，争取完成4家以上企业进规入统，想方设法支持规上企业做大营收额。</w:t>
      </w:r>
      <w:r>
        <w:rPr>
          <w:rFonts w:hint="eastAsia" w:ascii="仿宋_GB2312" w:eastAsia="仿宋_GB2312"/>
          <w:b/>
          <w:color w:val="auto"/>
          <w:sz w:val="32"/>
          <w:szCs w:val="32"/>
          <w:highlight w:val="none"/>
        </w:rPr>
        <w:t>加速景区“二次创业”，</w:t>
      </w:r>
      <w:r>
        <w:rPr>
          <w:rFonts w:hint="eastAsia" w:ascii="仿宋_GB2312" w:eastAsia="仿宋_GB2312"/>
          <w:color w:val="auto"/>
          <w:sz w:val="32"/>
          <w:szCs w:val="32"/>
          <w:highlight w:val="none"/>
        </w:rPr>
        <w:t>指导剑门关、昭化古城景区联动打造世界级旅游景区，建设蜀道翠云廊世界级步游道，曾家山、唐家河—青溪古城创建国家级旅游度假区，米仓山大峡谷创建国家5A级旅游景区，盐井河大峡谷创建国家4A级旅游景区，邀请知名文旅企业通过合资合作等方式参与旅游景区运营管理。</w:t>
      </w:r>
    </w:p>
    <w:p>
      <w:pPr>
        <w:spacing w:line="576" w:lineRule="exact"/>
        <w:ind w:firstLine="640" w:firstLineChars="200"/>
        <w:rPr>
          <w:rFonts w:ascii="仿宋_GB2312" w:eastAsia="仿宋_GB2312"/>
          <w:color w:val="auto"/>
          <w:sz w:val="32"/>
          <w:szCs w:val="32"/>
          <w:highlight w:val="none"/>
        </w:rPr>
      </w:pPr>
      <w:r>
        <w:rPr>
          <w:rFonts w:hint="eastAsia" w:ascii="楷体_GB2312" w:eastAsia="楷体_GB2312"/>
          <w:color w:val="auto"/>
          <w:sz w:val="32"/>
          <w:szCs w:val="32"/>
          <w:highlight w:val="none"/>
        </w:rPr>
        <w:t>3.在丰富产品业态上再发力。</w:t>
      </w:r>
      <w:r>
        <w:rPr>
          <w:rFonts w:hint="eastAsia" w:ascii="仿宋_GB2312" w:eastAsia="仿宋_GB2312"/>
          <w:b/>
          <w:color w:val="auto"/>
          <w:sz w:val="32"/>
          <w:szCs w:val="32"/>
          <w:highlight w:val="none"/>
        </w:rPr>
        <w:t>促进业态融合，</w:t>
      </w:r>
      <w:r>
        <w:rPr>
          <w:rFonts w:hint="eastAsia" w:ascii="仿宋_GB2312" w:eastAsia="仿宋_GB2312"/>
          <w:color w:val="auto"/>
          <w:sz w:val="32"/>
          <w:szCs w:val="32"/>
          <w:highlight w:val="none"/>
        </w:rPr>
        <w:t>促进低空旅游、乡村旅游、研学旅游、民宿产业、冰雪旅游、温泉旅游等新型业态全面发展，抓好120厂工业遗址开发利用项目，强力推动“三线记忆”博物馆建设。</w:t>
      </w:r>
      <w:r>
        <w:rPr>
          <w:rFonts w:hint="eastAsia" w:ascii="仿宋_GB2312" w:eastAsia="仿宋_GB2312"/>
          <w:b/>
          <w:color w:val="auto"/>
          <w:sz w:val="32"/>
          <w:szCs w:val="32"/>
          <w:highlight w:val="none"/>
        </w:rPr>
        <w:t>提升配套服务，</w:t>
      </w:r>
      <w:r>
        <w:rPr>
          <w:rFonts w:hint="eastAsia" w:ascii="仿宋_GB2312" w:eastAsia="仿宋_GB2312"/>
          <w:color w:val="auto"/>
          <w:sz w:val="32"/>
          <w:szCs w:val="32"/>
          <w:highlight w:val="none"/>
        </w:rPr>
        <w:t>推进剑阁县蜀道大酒店、五指村“宿丘”民宿酒店、旺苍县世隐·奢野酒店等项目建设，丰富烟火利州十二坊、旺苍“红场夜市”等美食娱乐街区业态，提升《剑门长歌》《唐家河</w:t>
      </w:r>
      <w:r>
        <w:rPr>
          <w:rFonts w:hint="eastAsia" w:ascii="仿宋_GB2312" w:hAnsi="仿宋_GB2312" w:eastAsia="仿宋_GB2312" w:cs="仿宋_GB2312"/>
          <w:color w:val="auto"/>
          <w:sz w:val="32"/>
          <w:szCs w:val="32"/>
          <w:highlight w:val="none"/>
        </w:rPr>
        <w:t>·</w:t>
      </w:r>
      <w:r>
        <w:rPr>
          <w:rFonts w:hint="eastAsia" w:ascii="仿宋_GB2312" w:eastAsia="仿宋_GB2312"/>
          <w:color w:val="auto"/>
          <w:sz w:val="32"/>
          <w:szCs w:val="32"/>
          <w:highlight w:val="none"/>
        </w:rPr>
        <w:t>境》《葭萌春秋》等演艺水平，系统谋划并全力突破景区与机场、高铁、汽车等站点以及景区之间的接驳问题，优化游客体验。</w:t>
      </w:r>
      <w:r>
        <w:rPr>
          <w:rFonts w:hint="eastAsia" w:ascii="仿宋_GB2312" w:eastAsia="仿宋_GB2312"/>
          <w:b/>
          <w:bCs/>
          <w:color w:val="auto"/>
          <w:sz w:val="32"/>
          <w:szCs w:val="32"/>
          <w:highlight w:val="none"/>
        </w:rPr>
        <w:t>壮大品牌产品，</w:t>
      </w:r>
      <w:r>
        <w:rPr>
          <w:rFonts w:hint="eastAsia" w:ascii="仿宋_GB2312" w:eastAsia="仿宋_GB2312"/>
          <w:color w:val="auto"/>
          <w:sz w:val="32"/>
          <w:szCs w:val="32"/>
          <w:highlight w:val="none"/>
        </w:rPr>
        <w:t>进一步推广“古蜀道徒步游”“坐高铁游广元”“2025女皇故里彩灯会”，大力发展研学游、入境游，全方位提升广元文旅产品在全国乃至国际旅游市场的辨识度与竞争力。</w:t>
      </w:r>
      <w:r>
        <w:rPr>
          <w:rFonts w:hint="eastAsia" w:ascii="仿宋_GB2312" w:eastAsia="仿宋_GB2312"/>
          <w:b/>
          <w:bCs/>
          <w:color w:val="auto"/>
          <w:sz w:val="32"/>
          <w:szCs w:val="32"/>
          <w:highlight w:val="none"/>
        </w:rPr>
        <w:t>开发文创产品</w:t>
      </w:r>
      <w:r>
        <w:rPr>
          <w:rFonts w:hint="eastAsia" w:ascii="仿宋_GB2312" w:eastAsia="仿宋_GB2312"/>
          <w:color w:val="auto"/>
          <w:sz w:val="32"/>
          <w:szCs w:val="32"/>
          <w:highlight w:val="none"/>
        </w:rPr>
        <w:t>，争取省、市资金支持，积极培育俏媚娘等市内文创企业，引进知名文创公司参与产品开发，做强大蜀道、大熊猫、俏媚娘等多类型特色文创产品品牌。</w:t>
      </w:r>
    </w:p>
    <w:p>
      <w:pPr>
        <w:spacing w:line="576" w:lineRule="exact"/>
        <w:ind w:firstLine="640" w:firstLineChars="200"/>
        <w:rPr>
          <w:rFonts w:ascii="仿宋_GB2312" w:eastAsia="仿宋_GB2312"/>
          <w:color w:val="auto"/>
          <w:sz w:val="32"/>
          <w:szCs w:val="32"/>
          <w:highlight w:val="none"/>
        </w:rPr>
      </w:pPr>
      <w:r>
        <w:rPr>
          <w:rFonts w:hint="eastAsia" w:ascii="楷体_GB2312" w:eastAsia="楷体_GB2312"/>
          <w:color w:val="auto"/>
          <w:sz w:val="32"/>
          <w:szCs w:val="32"/>
          <w:highlight w:val="none"/>
        </w:rPr>
        <w:t>4.在树品牌扩影响上再发力。</w:t>
      </w:r>
      <w:r>
        <w:rPr>
          <w:rFonts w:hint="eastAsia" w:ascii="仿宋_GB2312" w:eastAsia="仿宋_GB2312"/>
          <w:b/>
          <w:color w:val="auto"/>
          <w:sz w:val="32"/>
          <w:szCs w:val="32"/>
          <w:highlight w:val="none"/>
        </w:rPr>
        <w:t>办靓重大节会活动，</w:t>
      </w:r>
      <w:r>
        <w:rPr>
          <w:rFonts w:hint="eastAsia" w:ascii="仿宋_GB2312" w:eastAsia="仿宋_GB2312"/>
          <w:color w:val="auto"/>
          <w:sz w:val="32"/>
          <w:szCs w:val="32"/>
          <w:highlight w:val="none"/>
        </w:rPr>
        <w:t>高标准举办四川冰雪和温泉旅游节、2025全市文化和旅游发展大会、广元女儿节、全国民宿发展大会等活动，擦亮叫响“剑门蜀道、女皇故里、红色热土、康养胜地”文旅名片。</w:t>
      </w:r>
      <w:r>
        <w:rPr>
          <w:rFonts w:hint="eastAsia" w:ascii="仿宋_GB2312" w:eastAsia="仿宋_GB2312"/>
          <w:b/>
          <w:color w:val="auto"/>
          <w:sz w:val="32"/>
          <w:szCs w:val="32"/>
          <w:highlight w:val="none"/>
        </w:rPr>
        <w:t>聚焦重点城市推广，</w:t>
      </w:r>
      <w:r>
        <w:rPr>
          <w:rFonts w:hint="eastAsia" w:ascii="仿宋_GB2312" w:eastAsia="仿宋_GB2312"/>
          <w:bCs/>
          <w:color w:val="auto"/>
          <w:sz w:val="32"/>
          <w:szCs w:val="32"/>
          <w:highlight w:val="none"/>
        </w:rPr>
        <w:t>在成都、西安等地持续开展“游大美蜀道 品广元好茶”文化旅游和茶产业宣传推介、“层林尽染看广元”红叶资源宣传等活动</w:t>
      </w:r>
      <w:r>
        <w:rPr>
          <w:rFonts w:hint="eastAsia" w:ascii="仿宋_GB2312" w:eastAsia="仿宋_GB2312"/>
          <w:color w:val="auto"/>
          <w:sz w:val="32"/>
          <w:szCs w:val="32"/>
          <w:highlight w:val="none"/>
        </w:rPr>
        <w:t>，进一步巩固成都、重庆、西安、兰州等传统客源市场。</w:t>
      </w:r>
      <w:r>
        <w:rPr>
          <w:rFonts w:hint="eastAsia" w:ascii="仿宋_GB2312" w:eastAsia="仿宋_GB2312"/>
          <w:b/>
          <w:color w:val="auto"/>
          <w:sz w:val="32"/>
          <w:szCs w:val="32"/>
          <w:highlight w:val="none"/>
        </w:rPr>
        <w:t>强化线上宣传营销，</w:t>
      </w:r>
      <w:r>
        <w:rPr>
          <w:rFonts w:hint="eastAsia" w:ascii="仿宋_GB2312" w:eastAsia="仿宋_GB2312"/>
          <w:color w:val="auto"/>
          <w:sz w:val="32"/>
          <w:szCs w:val="32"/>
          <w:highlight w:val="none"/>
        </w:rPr>
        <w:t>与主流媒体开展合作，聘请文旅网红作为“广元文旅网络宣传大使”，引导旅行社和景区与12306平台、美团、携程、飞猪等在线平台合作。</w:t>
      </w:r>
      <w:r>
        <w:rPr>
          <w:rFonts w:hint="eastAsia" w:ascii="仿宋_GB2312" w:eastAsia="仿宋_GB2312"/>
          <w:b/>
          <w:color w:val="auto"/>
          <w:sz w:val="32"/>
          <w:szCs w:val="32"/>
          <w:highlight w:val="none"/>
        </w:rPr>
        <w:t>促进区域合作，</w:t>
      </w:r>
      <w:r>
        <w:rPr>
          <w:rFonts w:hint="eastAsia" w:ascii="仿宋_GB2312" w:eastAsia="仿宋_GB2312"/>
          <w:color w:val="auto"/>
          <w:sz w:val="32"/>
          <w:szCs w:val="32"/>
          <w:highlight w:val="none"/>
        </w:rPr>
        <w:t>深化与大蜀道沿线城市、嘉陵江沿线城市、川陕甘宁毗邻城市在宣传推广方面的合作，积极参加国家、省、区域性宣传推广活动。</w:t>
      </w:r>
    </w:p>
    <w:p>
      <w:pPr>
        <w:spacing w:line="576" w:lineRule="exact"/>
        <w:ind w:firstLine="640" w:firstLineChars="200"/>
        <w:rPr>
          <w:color w:val="auto"/>
          <w:highlight w:val="none"/>
        </w:rPr>
      </w:pPr>
      <w:r>
        <w:rPr>
          <w:rFonts w:hint="eastAsia" w:ascii="楷体_GB2312" w:eastAsia="楷体_GB2312"/>
          <w:color w:val="auto"/>
          <w:sz w:val="32"/>
          <w:szCs w:val="32"/>
          <w:highlight w:val="none"/>
        </w:rPr>
        <w:t>5.在建强干部队伍面再发力。</w:t>
      </w:r>
      <w:r>
        <w:rPr>
          <w:rFonts w:hint="eastAsia" w:ascii="仿宋_GB2312" w:eastAsia="仿宋_GB2312"/>
          <w:b/>
          <w:color w:val="auto"/>
          <w:sz w:val="32"/>
          <w:szCs w:val="32"/>
          <w:highlight w:val="none"/>
        </w:rPr>
        <w:t>坚持党建引领，</w:t>
      </w:r>
      <w:r>
        <w:rPr>
          <w:rFonts w:hint="eastAsia" w:ascii="仿宋_GB2312" w:eastAsia="仿宋_GB2312"/>
          <w:color w:val="auto"/>
          <w:sz w:val="32"/>
          <w:szCs w:val="32"/>
          <w:highlight w:val="none"/>
        </w:rPr>
        <w:t>推动机关党建与业务工作有机融合，巩固党纪学习教育成果，持续提升党员干部队伍政治素质、业务素质。</w:t>
      </w:r>
      <w:r>
        <w:rPr>
          <w:rFonts w:hint="eastAsia" w:ascii="仿宋_GB2312" w:eastAsia="仿宋_GB2312"/>
          <w:b/>
          <w:color w:val="auto"/>
          <w:sz w:val="32"/>
          <w:szCs w:val="32"/>
          <w:highlight w:val="none"/>
        </w:rPr>
        <w:t>打造“清廉文旅”，</w:t>
      </w:r>
      <w:r>
        <w:rPr>
          <w:rFonts w:hint="eastAsia" w:ascii="仿宋_GB2312" w:eastAsia="仿宋_GB2312"/>
          <w:color w:val="auto"/>
          <w:sz w:val="32"/>
          <w:szCs w:val="32"/>
          <w:highlight w:val="none"/>
        </w:rPr>
        <w:t>全面落实从严治党“三张清单”制度，持续加强机关纪委建设，对部分直属单位进行内部审计，常态化开展警示教育，不断深化干部作风建设。</w:t>
      </w:r>
      <w:r>
        <w:rPr>
          <w:rFonts w:hint="eastAsia" w:ascii="仿宋_GB2312" w:eastAsia="仿宋_GB2312"/>
          <w:b/>
          <w:color w:val="auto"/>
          <w:sz w:val="32"/>
          <w:szCs w:val="32"/>
          <w:highlight w:val="none"/>
        </w:rPr>
        <w:t>强化智力支撑，</w:t>
      </w:r>
      <w:r>
        <w:rPr>
          <w:rFonts w:hint="eastAsia" w:ascii="仿宋_GB2312" w:eastAsia="仿宋_GB2312"/>
          <w:color w:val="auto"/>
          <w:sz w:val="32"/>
          <w:szCs w:val="32"/>
          <w:highlight w:val="none"/>
        </w:rPr>
        <w:t>引进招聘一批紧缺人才，开展促进文旅康养产业发展专题培训，调整补充科级领导干部，评选表扬一批工作表现突出集体和个人，激发人才队伍干事创业内生动力。</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9" w:name="_Toc10473"/>
      <w:r>
        <w:rPr>
          <w:rFonts w:hint="eastAsia" w:ascii="黑体" w:hAnsi="黑体" w:eastAsia="黑体" w:cs="黑体"/>
          <w:sz w:val="32"/>
          <w:szCs w:val="32"/>
          <w:lang w:val="en-US" w:eastAsia="zh-CN"/>
        </w:rPr>
        <w:t>二、部门预算单位构成</w:t>
      </w:r>
      <w:bookmarkEnd w:id="9"/>
    </w:p>
    <w:p>
      <w:pPr>
        <w:spacing w:line="55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我单位为</w:t>
      </w:r>
      <w:r>
        <w:rPr>
          <w:rFonts w:hint="eastAsia" w:ascii="仿宋_GB2312" w:eastAsia="仿宋_GB2312" w:cs="Times New Roman"/>
          <w:color w:val="auto"/>
          <w:sz w:val="32"/>
          <w:szCs w:val="32"/>
          <w:lang w:val="en-US" w:eastAsia="zh-CN"/>
        </w:rPr>
        <w:t>广元市文化广播电视和旅游局</w:t>
      </w:r>
      <w:r>
        <w:rPr>
          <w:rFonts w:hint="eastAsia" w:ascii="仿宋_GB2312" w:hAnsi="仿宋_GB2312" w:eastAsia="仿宋_GB2312" w:cs="仿宋_GB2312"/>
          <w:sz w:val="32"/>
          <w:szCs w:val="32"/>
          <w:lang w:val="en-US" w:eastAsia="zh-CN"/>
        </w:rPr>
        <w:t>的下属二级预算单位，本单位无下属机构</w:t>
      </w:r>
      <w:r>
        <w:rPr>
          <w:rFonts w:hint="eastAsia" w:ascii="仿宋_GB2312" w:eastAsia="仿宋_GB2312" w:cs="Times New Roman"/>
          <w:color w:val="auto"/>
          <w:sz w:val="32"/>
          <w:szCs w:val="32"/>
          <w:lang w:val="en-US" w:eastAsia="zh-CN"/>
        </w:rPr>
        <w:t>。设有内设机构17个。</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sectPr>
          <w:pgSz w:w="11906" w:h="16838"/>
          <w:pgMar w:top="2098" w:right="1474" w:bottom="1984" w:left="1587" w:header="720" w:footer="1559" w:gutter="0"/>
          <w:pgNumType w:fmt="decimal"/>
          <w:cols w:space="0" w:num="1"/>
          <w:rtlGutter w:val="0"/>
          <w:docGrid w:type="lines" w:linePitch="312" w:charSpace="0"/>
        </w:sect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rightChars="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10" w:name="_Toc25093"/>
      <w:r>
        <w:rPr>
          <w:rFonts w:hint="eastAsia" w:ascii="方正小标宋简体" w:hAnsi="方正小标宋简体" w:eastAsia="方正小标宋简体" w:cs="方正小标宋简体"/>
          <w:b w:val="0"/>
          <w:bCs w:val="0"/>
          <w:i w:val="0"/>
          <w:caps w:val="0"/>
          <w:color w:val="000000" w:themeColor="text1"/>
          <w:spacing w:val="0"/>
          <w:kern w:val="0"/>
          <w:sz w:val="44"/>
          <w:szCs w:val="44"/>
          <w:shd w:val="clear" w:fill="FFFFFF"/>
          <w:lang w:val="en-US" w:eastAsia="zh-CN" w:bidi="ar"/>
          <w14:textFill>
            <w14:solidFill>
              <w14:schemeClr w14:val="tx1"/>
            </w14:solidFill>
          </w14:textFill>
        </w:rPr>
        <w:t xml:space="preserve">第二部分  </w:t>
      </w: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广元市文化广播电视和旅游局</w:t>
      </w:r>
      <w:bookmarkEnd w:id="10"/>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rightChars="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 xml:space="preserve">         </w:t>
      </w:r>
      <w:bookmarkStart w:id="11" w:name="_Toc21847"/>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2025年单位预算情况说明</w:t>
      </w:r>
      <w:bookmarkEnd w:id="11"/>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pgSz w:w="11906" w:h="16838"/>
          <w:pgMar w:top="2098" w:right="1474" w:bottom="1984" w:left="1587" w:header="720" w:footer="1559"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12" w:name="_Toc16163"/>
      <w:r>
        <w:rPr>
          <w:rFonts w:hint="eastAsia" w:ascii="黑体" w:hAnsi="黑体" w:eastAsia="黑体" w:cs="黑体"/>
          <w:sz w:val="32"/>
          <w:szCs w:val="32"/>
          <w:lang w:val="en-US" w:eastAsia="zh-CN"/>
        </w:rPr>
        <w:t>一、收支预算情况说明</w:t>
      </w:r>
      <w:bookmarkEnd w:id="12"/>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按照综合预算的原则，广元市文化广播电视和旅游局所有收入和支出均纳入部门预算管理。收入包括：一般公共预算拨款收入；支出包括：</w:t>
      </w:r>
      <w:r>
        <w:rPr>
          <w:rFonts w:hint="eastAsia" w:ascii="仿宋_GB2312" w:hAnsi="仿宋_GB2312" w:eastAsia="仿宋_GB2312" w:cs="仿宋_GB2312"/>
          <w:color w:val="auto"/>
          <w:sz w:val="32"/>
          <w:szCs w:val="32"/>
          <w:lang w:val="en-US" w:eastAsia="zh-CN"/>
        </w:rPr>
        <w:t>文化旅游体育与传媒支出、社会保障和就业支出、卫生健康支出、住房保障支出。</w:t>
      </w:r>
      <w:r>
        <w:rPr>
          <w:rFonts w:hint="eastAsia" w:ascii="仿宋_GB2312" w:hAnsi="仿宋_GB2312" w:eastAsia="仿宋_GB2312" w:cs="仿宋_GB2312"/>
          <w:sz w:val="32"/>
          <w:szCs w:val="32"/>
          <w:lang w:val="en-US" w:eastAsia="zh-CN"/>
        </w:rPr>
        <w:t>广元市文化广播电视和旅游局2025年收支预算总数1323.83万元,比2024年收支预算总数减少21.95 万元，主要原因是项目支出预算减少。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13" w:name="_Toc5990"/>
      <w:bookmarkStart w:id="14" w:name="_Toc1475"/>
      <w:r>
        <w:rPr>
          <w:rFonts w:hint="eastAsia" w:ascii="楷体_GB2312" w:hAnsi="楷体_GB2312" w:eastAsia="楷体_GB2312" w:cs="楷体_GB2312"/>
          <w:sz w:val="32"/>
          <w:szCs w:val="32"/>
          <w:lang w:val="en-US" w:eastAsia="zh-CN"/>
        </w:rPr>
        <w:t>（一）收入预算情况</w:t>
      </w:r>
      <w:bookmarkEnd w:id="13"/>
      <w:bookmarkEnd w:id="14"/>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广元市文化广播电视和旅游局2025年收入预算1323.83万元，其中：一般公共预算拨款收入1323.83万元，占100%。</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15" w:name="_Toc31774"/>
      <w:bookmarkStart w:id="16" w:name="_Toc27354"/>
      <w:r>
        <w:rPr>
          <w:rFonts w:hint="eastAsia" w:ascii="楷体_GB2312" w:hAnsi="楷体_GB2312" w:eastAsia="楷体_GB2312" w:cs="楷体_GB2312"/>
          <w:sz w:val="32"/>
          <w:szCs w:val="32"/>
          <w:lang w:val="en-US" w:eastAsia="zh-CN"/>
        </w:rPr>
        <w:t>（二）支出预算情况</w:t>
      </w:r>
      <w:bookmarkEnd w:id="15"/>
      <w:bookmarkEnd w:id="16"/>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广元市文化广播电视和旅游局2025年支出预算1323.83万元，其中：基本支出1113.96万元，占84.15%；项目支出209.87万元，占15.85%</w:t>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17" w:name="_Toc17457"/>
      <w:r>
        <w:rPr>
          <w:rFonts w:hint="eastAsia" w:ascii="黑体" w:hAnsi="黑体" w:eastAsia="黑体" w:cs="黑体"/>
          <w:sz w:val="32"/>
          <w:szCs w:val="32"/>
          <w:lang w:val="en-US" w:eastAsia="zh-CN"/>
        </w:rPr>
        <w:t>二、财政拨款收支预算情况说明</w:t>
      </w:r>
      <w:bookmarkEnd w:id="17"/>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广元市文化广播电视和旅游局2025年财政拨款收支预算总数1323.83万元,比2024年财政拨款收支预算总数减少21.95 万元，主要原因是项目支出预算减少。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收入包括：本年一般公共预算拨款收入1323.83万元；支出包括：</w:t>
      </w:r>
      <w:r>
        <w:rPr>
          <w:rFonts w:hint="eastAsia" w:ascii="仿宋_GB2312" w:hAnsi="仿宋_GB2312" w:eastAsia="仿宋_GB2312" w:cs="仿宋_GB2312"/>
          <w:color w:val="auto"/>
          <w:sz w:val="32"/>
          <w:szCs w:val="32"/>
          <w:highlight w:val="none"/>
        </w:rPr>
        <w:t>文化旅游体育与传媒支出1129.94万元、社会保障和就业支出90.56万元、卫生健康支出28.44万元、住房保障支出74.9万元。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18" w:name="_Toc17350"/>
      <w:r>
        <w:rPr>
          <w:rFonts w:hint="eastAsia" w:ascii="黑体" w:hAnsi="黑体" w:eastAsia="黑体" w:cs="黑体"/>
          <w:sz w:val="32"/>
          <w:szCs w:val="32"/>
          <w:lang w:val="en-US" w:eastAsia="zh-CN"/>
        </w:rPr>
        <w:t>三、一般公共预算当年拨款情况说明</w:t>
      </w:r>
      <w:bookmarkEnd w:id="18"/>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19" w:name="_Toc20010"/>
      <w:bookmarkStart w:id="20" w:name="_Toc10472"/>
      <w:r>
        <w:rPr>
          <w:rFonts w:hint="eastAsia" w:ascii="楷体_GB2312" w:hAnsi="楷体_GB2312" w:eastAsia="楷体_GB2312" w:cs="楷体_GB2312"/>
          <w:sz w:val="32"/>
          <w:szCs w:val="32"/>
          <w:lang w:val="en-US" w:eastAsia="zh-CN"/>
        </w:rPr>
        <w:t>（一）一般公共预算当年拨款规模变化情况</w:t>
      </w:r>
      <w:bookmarkEnd w:id="19"/>
      <w:bookmarkEnd w:id="20"/>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广元市文化广播电视和旅游局2025年一般公共预算当年拨款1323.83万元，比2024年预算数减少21.95 万元，主要原因是项目支出预算减少</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21" w:name="_Toc11514"/>
      <w:bookmarkStart w:id="22" w:name="_Toc20425"/>
      <w:r>
        <w:rPr>
          <w:rFonts w:hint="eastAsia" w:ascii="楷体_GB2312" w:hAnsi="楷体_GB2312" w:eastAsia="楷体_GB2312" w:cs="楷体_GB2312"/>
          <w:sz w:val="32"/>
          <w:szCs w:val="32"/>
          <w:lang w:val="en-US" w:eastAsia="zh-CN"/>
        </w:rPr>
        <w:t>（二）一般公共预算当年拨款结构情况</w:t>
      </w:r>
      <w:bookmarkEnd w:id="21"/>
      <w:bookmarkEnd w:id="22"/>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文化旅游体育与传媒支出1129.94万元，占85.35%；社会保障和就业支出90.56万元，占6.84%；卫生健康支出28.44万元，占2.15%；住房保障支出74.90万元，占5.66%。</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23" w:name="_Toc29686"/>
      <w:bookmarkStart w:id="24" w:name="_Toc11411"/>
      <w:r>
        <w:rPr>
          <w:rFonts w:hint="eastAsia" w:ascii="楷体_GB2312" w:hAnsi="楷体_GB2312" w:eastAsia="楷体_GB2312" w:cs="楷体_GB2312"/>
          <w:sz w:val="32"/>
          <w:szCs w:val="32"/>
          <w:lang w:val="en-US" w:eastAsia="zh-CN"/>
        </w:rPr>
        <w:t>（三）一般公共预算当年拨款具体使用情况</w:t>
      </w:r>
      <w:bookmarkEnd w:id="23"/>
      <w:bookmarkEnd w:id="24"/>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default"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lang w:val="en-US" w:eastAsia="zh-CN"/>
        </w:rPr>
        <w:t>文化旅游体育与传媒支出(类)文化和旅游(款)行政运行(项)2025年预算数为902.07万元，主要用于：局机关工资奖金津补贴、社会保障缴费、其他工资福利支出、办公经费、印刷费、水费、电费、邮电费、差旅费、维修费、租赁费、公务接待费、劳务费、工会经费、福利费、公务用车运行维护费、其他交通费、其他商品和服务支出、生活补助。</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default"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lang w:val="en-US" w:eastAsia="zh-CN"/>
        </w:rPr>
        <w:t>文化旅游体育与传媒支出(类)文化和旅游(款)一般行政管理事务(项)2025年预算数为103.82万元，主要用于：文化艺术中心运维、文旅产业发展、公共文化服务体系建设、乡村振兴等方面的办公经费、印刷费、邮电费、差旅费、其他交通费、其他商品和服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文化旅游体育与传媒支出(类)文化和旅游(款)文化和旅游市场管理(项)2025年预算数为26万元，主要用于：文化旅游行业管理工作所产生的办公费、印刷费、邮电费、维修费、会议费、劳务费、其他交通费、委托业务费、差旅费、其他商品和服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4.文化旅游体育与传媒支出(类)文化和旅游(款)旅游宣传（项）2025年预算数为20.05万元，主要用于：主要用于文化旅游宣传推广工作所产生的办公经费、印刷费、差旅费、其他商品和服务支出。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5.文化旅游体育与传媒支出(类)文化和旅游(款)文化和旅游管理事务(项)2025年预算数为18万元，主要用于：市文化旅游服务中心办公经费、其他商品和服务支出。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6.文化旅游体育与传媒支出(类)文物(款)文物保护(项)2025年预算数为60万元，主要用于：市文物局文物保护方面的办公费、印刷费、邮电费、差旅费、劳务费、其他交通费、其他商品和服务支出等。</w:t>
      </w:r>
    </w:p>
    <w:p>
      <w:pPr>
        <w:pStyle w:val="2"/>
        <w:keepNext w:val="0"/>
        <w:keepLines w:val="0"/>
        <w:pageBreakBefore w:val="0"/>
        <w:widowControl/>
        <w:tabs>
          <w:tab w:val="right" w:leader="dot" w:pos="8890"/>
        </w:tabs>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hAnsi="仿宋_GB2312" w:cs="仿宋_GB2312"/>
          <w:b w:val="0"/>
          <w:color w:val="auto"/>
          <w:kern w:val="2"/>
          <w:sz w:val="32"/>
          <w:szCs w:val="32"/>
          <w:lang w:val="en-US" w:eastAsia="zh-CN" w:bidi="ar-SA"/>
        </w:rPr>
        <w:t>7</w:t>
      </w:r>
      <w:r>
        <w:rPr>
          <w:rFonts w:hint="eastAsia" w:ascii="仿宋_GB2312" w:hAnsi="仿宋_GB2312" w:eastAsia="仿宋_GB2312" w:cs="仿宋_GB2312"/>
          <w:b w:val="0"/>
          <w:color w:val="auto"/>
          <w:kern w:val="2"/>
          <w:sz w:val="32"/>
          <w:szCs w:val="32"/>
          <w:lang w:val="en-US" w:eastAsia="zh-CN" w:bidi="ar-SA"/>
        </w:rPr>
        <w:t>.社会保障和就业支出(类)行政事业单位养老支出(款)机关事业单位基本养老保险缴费支出(项)2025年预算数为88.88万元，主要用于缴纳职工机关事业单位基本养老保险。</w:t>
      </w:r>
    </w:p>
    <w:p>
      <w:pPr>
        <w:pStyle w:val="2"/>
        <w:keepNext w:val="0"/>
        <w:keepLines w:val="0"/>
        <w:pageBreakBefore w:val="0"/>
        <w:widowControl/>
        <w:tabs>
          <w:tab w:val="right" w:leader="dot" w:pos="8890"/>
        </w:tabs>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hAnsi="仿宋_GB2312" w:cs="仿宋_GB2312"/>
          <w:b w:val="0"/>
          <w:color w:val="auto"/>
          <w:kern w:val="2"/>
          <w:sz w:val="32"/>
          <w:szCs w:val="32"/>
          <w:lang w:val="en-US" w:eastAsia="zh-CN" w:bidi="ar-SA"/>
        </w:rPr>
        <w:t>8</w:t>
      </w:r>
      <w:r>
        <w:rPr>
          <w:rFonts w:hint="eastAsia" w:ascii="仿宋_GB2312" w:hAnsi="仿宋_GB2312" w:eastAsia="仿宋_GB2312" w:cs="仿宋_GB2312"/>
          <w:b w:val="0"/>
          <w:color w:val="auto"/>
          <w:kern w:val="2"/>
          <w:sz w:val="32"/>
          <w:szCs w:val="32"/>
          <w:lang w:val="en-US" w:eastAsia="zh-CN" w:bidi="ar-SA"/>
        </w:rPr>
        <w:t>.社会保障和就业支出（类）其他社会保障和就业支出（款）其他社会保障和就业支出（项）2025年预算数为1.68万元，主要用于其他用于社会保障和就业方面的支出。</w:t>
      </w:r>
    </w:p>
    <w:p>
      <w:pPr>
        <w:pStyle w:val="2"/>
        <w:keepNext w:val="0"/>
        <w:keepLines w:val="0"/>
        <w:pageBreakBefore w:val="0"/>
        <w:widowControl/>
        <w:tabs>
          <w:tab w:val="right" w:leader="dot" w:pos="8890"/>
        </w:tabs>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hAnsi="仿宋_GB2312" w:cs="仿宋_GB2312"/>
          <w:b w:val="0"/>
          <w:color w:val="auto"/>
          <w:kern w:val="2"/>
          <w:sz w:val="32"/>
          <w:szCs w:val="32"/>
          <w:lang w:val="en-US" w:eastAsia="zh-CN" w:bidi="ar-SA"/>
        </w:rPr>
        <w:t>9</w:t>
      </w:r>
      <w:r>
        <w:rPr>
          <w:rFonts w:hint="eastAsia" w:ascii="仿宋_GB2312" w:hAnsi="仿宋_GB2312" w:eastAsia="仿宋_GB2312" w:cs="仿宋_GB2312"/>
          <w:b w:val="0"/>
          <w:color w:val="auto"/>
          <w:kern w:val="2"/>
          <w:sz w:val="32"/>
          <w:szCs w:val="32"/>
          <w:lang w:val="en-US" w:eastAsia="zh-CN" w:bidi="ar-SA"/>
        </w:rPr>
        <w:t>.卫生健康支出（类）行政事业单位医疗（款）行政单位医疗（项）2025年预算数为28.44万元，主要用于机关及参公管理事业单位按规定由单位缴纳的基本医疗保险支出。</w:t>
      </w:r>
    </w:p>
    <w:p>
      <w:pPr>
        <w:pStyle w:val="2"/>
        <w:keepNext w:val="0"/>
        <w:keepLines w:val="0"/>
        <w:pageBreakBefore w:val="0"/>
        <w:widowControl/>
        <w:tabs>
          <w:tab w:val="right" w:leader="dot" w:pos="8890"/>
        </w:tabs>
        <w:kinsoku/>
        <w:wordWrap/>
        <w:overflowPunct/>
        <w:topLinePunct w:val="0"/>
        <w:autoSpaceDE/>
        <w:autoSpaceDN/>
        <w:bidi w:val="0"/>
        <w:adjustRightInd w:val="0"/>
        <w:snapToGrid w:val="0"/>
        <w:spacing w:line="576" w:lineRule="exact"/>
        <w:ind w:firstLine="640" w:firstLineChars="200"/>
        <w:textAlignment w:val="auto"/>
        <w:rPr>
          <w:rFonts w:hint="default" w:ascii="仿宋_GB2312" w:hAnsi="仿宋_GB2312" w:eastAsia="仿宋_GB2312" w:cs="仿宋_GB2312"/>
          <w:b w:val="0"/>
          <w:color w:val="auto"/>
          <w:kern w:val="2"/>
          <w:sz w:val="32"/>
          <w:szCs w:val="32"/>
          <w:lang w:val="en-US" w:eastAsia="zh-CN" w:bidi="ar-SA"/>
        </w:rPr>
      </w:pPr>
      <w:r>
        <w:rPr>
          <w:rFonts w:hint="eastAsia" w:ascii="仿宋_GB2312" w:hAnsi="仿宋_GB2312" w:eastAsia="仿宋_GB2312" w:cs="仿宋_GB2312"/>
          <w:b w:val="0"/>
          <w:color w:val="auto"/>
          <w:kern w:val="2"/>
          <w:sz w:val="32"/>
          <w:szCs w:val="32"/>
          <w:lang w:val="en-US" w:eastAsia="zh-CN" w:bidi="ar-SA"/>
        </w:rPr>
        <w:t>1</w:t>
      </w:r>
      <w:r>
        <w:rPr>
          <w:rFonts w:hint="eastAsia" w:hAnsi="仿宋_GB2312" w:cs="仿宋_GB2312"/>
          <w:b w:val="0"/>
          <w:color w:val="auto"/>
          <w:kern w:val="2"/>
          <w:sz w:val="32"/>
          <w:szCs w:val="32"/>
          <w:lang w:val="en-US" w:eastAsia="zh-CN" w:bidi="ar-SA"/>
        </w:rPr>
        <w:t>0</w:t>
      </w:r>
      <w:r>
        <w:rPr>
          <w:rFonts w:hint="eastAsia" w:ascii="仿宋_GB2312" w:hAnsi="仿宋_GB2312" w:eastAsia="仿宋_GB2312" w:cs="仿宋_GB2312"/>
          <w:b w:val="0"/>
          <w:color w:val="auto"/>
          <w:kern w:val="2"/>
          <w:sz w:val="32"/>
          <w:szCs w:val="32"/>
          <w:lang w:val="en-US" w:eastAsia="zh-CN" w:bidi="ar-SA"/>
        </w:rPr>
        <w:t>.住房保障支出（类）住房改革支出（款）住房公积金（项）2025年预算数为74.9万元，主要用于部门按规定为职工缴纳的住房公积金支出。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25" w:name="_Toc10749"/>
      <w:r>
        <w:rPr>
          <w:rFonts w:hint="eastAsia" w:ascii="黑体" w:hAnsi="黑体" w:eastAsia="黑体" w:cs="黑体"/>
          <w:sz w:val="32"/>
          <w:szCs w:val="32"/>
          <w:lang w:val="en-US" w:eastAsia="zh-CN"/>
        </w:rPr>
        <w:t>四、一般公共预算基本支出情况说明</w:t>
      </w:r>
      <w:bookmarkEnd w:id="25"/>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广元市文化广播电视和旅游局</w:t>
      </w:r>
      <w:r>
        <w:rPr>
          <w:rFonts w:hint="eastAsia" w:ascii="仿宋_GB2312" w:hAnsi="仿宋_GB2312" w:eastAsia="仿宋_GB2312" w:cs="仿宋_GB2312"/>
          <w:sz w:val="32"/>
          <w:szCs w:val="32"/>
          <w:lang w:val="en-US" w:eastAsia="zh-CN"/>
        </w:rPr>
        <w:t>2025年一般公共预算基本支出1113.96万元，其中：</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人员经费938.04万元，主要包括：基本工资、津贴补贴、奖金、绩效工资、机关事业单位基本养老保险缴费、职工基本医疗保险缴费、其他社会保障缴费、住房公积金、生活补助等支出。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175.92万元，主要包括：办公费、印刷费、水费、电费、邮电费、物业管理费、差旅费、维修（护）费、租赁费、会议费、培训费、公务接待费、劳务费、委托业务费、工会经费、福利费、公务用车运行维护费、其他交通费用、其他商品和服务支出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26" w:name="_Toc1843"/>
      <w:r>
        <w:rPr>
          <w:rFonts w:hint="eastAsia" w:ascii="黑体" w:hAnsi="黑体" w:eastAsia="黑体" w:cs="黑体"/>
          <w:sz w:val="32"/>
          <w:szCs w:val="32"/>
          <w:lang w:val="en-US" w:eastAsia="zh-CN"/>
        </w:rPr>
        <w:t>五、“三公”经费财政拨款预算安排情况说明</w:t>
      </w:r>
      <w:bookmarkEnd w:id="26"/>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广元市文化广播电视和旅游局</w:t>
      </w:r>
      <w:r>
        <w:rPr>
          <w:rFonts w:hint="eastAsia" w:ascii="仿宋_GB2312" w:hAnsi="仿宋_GB2312" w:eastAsia="仿宋_GB2312" w:cs="仿宋_GB2312"/>
          <w:sz w:val="32"/>
          <w:szCs w:val="32"/>
          <w:lang w:val="en-US" w:eastAsia="zh-CN"/>
        </w:rPr>
        <w:t>2025年“三公”经费财政拨款预算数19.55万元，其中：公务接待费1.55万元，公务用车购置及运行维护费18万元，因公出国（境）经费0万元。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27" w:name="_Toc12028"/>
      <w:bookmarkStart w:id="28" w:name="_Toc31973"/>
      <w:r>
        <w:rPr>
          <w:rFonts w:hint="eastAsia" w:ascii="楷体_GB2312" w:hAnsi="楷体_GB2312" w:eastAsia="楷体_GB2312" w:cs="楷体_GB2312"/>
          <w:sz w:val="32"/>
          <w:szCs w:val="32"/>
          <w:lang w:val="en-US" w:eastAsia="zh-CN"/>
        </w:rPr>
        <w:t>（一）公务接待费</w:t>
      </w:r>
      <w:bookmarkEnd w:id="27"/>
      <w:bookmarkEnd w:id="28"/>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公务接待费与2024年预算相比</w:t>
      </w:r>
      <w:r>
        <w:rPr>
          <w:rFonts w:hint="eastAsia" w:ascii="仿宋_GB2312" w:hAnsi="仿宋_GB2312" w:eastAsia="仿宋_GB2312" w:cs="仿宋_GB2312"/>
          <w:sz w:val="32"/>
          <w:szCs w:val="32"/>
          <w:highlight w:val="none"/>
          <w:lang w:val="en-US" w:eastAsia="zh-CN"/>
        </w:rPr>
        <w:t>持平</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2025年公务接待费计划用于执行接待考察调研、检查指导等公务活动开支的交通费、住宿费、用餐费等。</w:t>
      </w:r>
    </w:p>
    <w:p>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29" w:name="_Toc4672"/>
      <w:bookmarkStart w:id="30" w:name="_Toc18498"/>
      <w:r>
        <w:rPr>
          <w:rFonts w:hint="eastAsia" w:ascii="楷体_GB2312" w:hAnsi="楷体_GB2312" w:eastAsia="楷体_GB2312" w:cs="楷体_GB2312"/>
          <w:sz w:val="32"/>
          <w:szCs w:val="32"/>
          <w:lang w:val="en-US" w:eastAsia="zh-CN"/>
        </w:rPr>
        <w:t>公务用车购置及运行维护费</w:t>
      </w:r>
      <w:bookmarkEnd w:id="29"/>
      <w:bookmarkEnd w:id="30"/>
    </w:p>
    <w:p>
      <w:pPr>
        <w:spacing w:line="576" w:lineRule="exact"/>
        <w:ind w:firstLine="640" w:firstLineChars="200"/>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sz w:val="32"/>
          <w:szCs w:val="32"/>
          <w:lang w:val="en-US" w:eastAsia="zh-CN"/>
        </w:rPr>
        <w:t>公务用车购置及运行维护费与2024年预算相比</w:t>
      </w:r>
      <w:r>
        <w:rPr>
          <w:rFonts w:hint="eastAsia" w:ascii="仿宋_GB2312" w:hAnsi="仿宋_GB2312" w:eastAsia="仿宋_GB2312" w:cs="仿宋_GB2312"/>
          <w:sz w:val="32"/>
          <w:szCs w:val="32"/>
          <w:highlight w:val="none"/>
          <w:lang w:val="en-US" w:eastAsia="zh-CN"/>
        </w:rPr>
        <w:t>下降6.25万元</w:t>
      </w:r>
      <w:r>
        <w:rPr>
          <w:rFonts w:hint="eastAsia" w:ascii="仿宋_GB2312" w:hAnsi="仿宋_GB2312" w:eastAsia="仿宋_GB2312" w:cs="仿宋_GB2312"/>
          <w:sz w:val="32"/>
          <w:szCs w:val="32"/>
          <w:lang w:val="en-US" w:eastAsia="zh-CN"/>
        </w:rPr>
        <w:t>，主要原因是</w:t>
      </w:r>
      <w:r>
        <w:rPr>
          <w:rFonts w:hint="eastAsia" w:ascii="仿宋_GB2312" w:hAnsi="仿宋_GB2312" w:eastAsia="仿宋_GB2312" w:cs="仿宋_GB2312"/>
          <w:color w:val="auto"/>
          <w:sz w:val="32"/>
          <w:szCs w:val="32"/>
          <w:highlight w:val="none"/>
        </w:rPr>
        <w:t>落实市委市政府“过紧日子”要求，压减预算支出。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单位现有公务用车4辆，其中：轿车2辆、越野车2辆。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2025年未安排公务用车购置费。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2025年安排公务用车运行维护费18万元，用于</w:t>
      </w:r>
      <w:r>
        <w:rPr>
          <w:rFonts w:hint="eastAsia" w:ascii="仿宋_GB2312" w:hAnsi="仿宋_GB2312" w:eastAsia="仿宋_GB2312" w:cs="仿宋_GB2312"/>
          <w:color w:val="auto"/>
          <w:sz w:val="32"/>
          <w:szCs w:val="32"/>
          <w:lang w:val="en-US" w:eastAsia="zh-CN"/>
        </w:rPr>
        <w:t>4辆公务用车燃油、过路（桥）、维修、保险等方面支出，主要保障全系统乡村振兴、文化旅游产业发展、公共文化服务体系建设、文物保护调研指导督导等方面的工作。</w:t>
      </w:r>
    </w:p>
    <w:p>
      <w:pPr>
        <w:keepNext w:val="0"/>
        <w:keepLines w:val="0"/>
        <w:pageBreakBefore w:val="0"/>
        <w:widowControl w:val="0"/>
        <w:kinsoku/>
        <w:wordWrap/>
        <w:overflowPunct/>
        <w:topLinePunct w:val="0"/>
        <w:autoSpaceDE/>
        <w:autoSpaceDN/>
        <w:bidi w:val="0"/>
        <w:adjustRightInd/>
        <w:snapToGrid/>
        <w:spacing w:line="576" w:lineRule="exact"/>
        <w:textAlignment w:val="auto"/>
        <w:outlineLvl w:val="2"/>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bookmarkStart w:id="31" w:name="_Toc21387"/>
      <w:bookmarkStart w:id="32" w:name="_Toc23134"/>
      <w:r>
        <w:rPr>
          <w:rFonts w:hint="eastAsia" w:ascii="仿宋_GB2312" w:hAnsi="仿宋_GB2312" w:eastAsia="仿宋_GB2312" w:cs="仿宋_GB2312"/>
          <w:sz w:val="32"/>
          <w:szCs w:val="32"/>
          <w:lang w:val="en-US" w:eastAsia="zh-CN"/>
        </w:rPr>
        <w:t>（</w:t>
      </w:r>
      <w:r>
        <w:rPr>
          <w:rFonts w:hint="eastAsia" w:ascii="楷体_GB2312" w:hAnsi="楷体_GB2312" w:eastAsia="楷体_GB2312" w:cs="楷体_GB2312"/>
          <w:sz w:val="32"/>
          <w:szCs w:val="32"/>
          <w:lang w:val="en-US" w:eastAsia="zh-CN"/>
        </w:rPr>
        <w:t>三）因公出国（境）经费</w:t>
      </w:r>
      <w:bookmarkEnd w:id="31"/>
      <w:bookmarkEnd w:id="32"/>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b/>
          <w:bCs/>
          <w:color w:val="auto"/>
          <w:sz w:val="32"/>
          <w:szCs w:val="32"/>
          <w:lang w:val="en-US" w:eastAsia="zh-CN"/>
        </w:rPr>
      </w:pPr>
      <w:r>
        <w:rPr>
          <w:rFonts w:hint="eastAsia" w:ascii="仿宋_GB2312" w:hAnsi="仿宋_GB2312" w:eastAsia="仿宋_GB2312" w:cs="仿宋_GB2312"/>
          <w:color w:val="auto"/>
          <w:sz w:val="32"/>
          <w:szCs w:val="32"/>
          <w:lang w:val="en-US" w:eastAsia="zh-CN"/>
        </w:rPr>
        <w:t>因公出国（境）经费与2024年预算相比持平。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33" w:name="_Toc7558"/>
      <w:r>
        <w:rPr>
          <w:rFonts w:hint="eastAsia" w:ascii="黑体" w:hAnsi="黑体" w:eastAsia="黑体" w:cs="黑体"/>
          <w:sz w:val="32"/>
          <w:szCs w:val="32"/>
          <w:lang w:val="en-US" w:eastAsia="zh-CN"/>
        </w:rPr>
        <w:t>六、政府性基金预算支出情况说明</w:t>
      </w:r>
      <w:bookmarkEnd w:id="33"/>
    </w:p>
    <w:p>
      <w:pPr>
        <w:spacing w:line="576"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广元市文化广播电视和旅游局2025年无政府性基金预算拨款安排的支出。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34" w:name="_Toc8239"/>
      <w:r>
        <w:rPr>
          <w:rFonts w:hint="eastAsia" w:ascii="黑体" w:hAnsi="黑体" w:eastAsia="黑体" w:cs="黑体"/>
          <w:sz w:val="32"/>
          <w:szCs w:val="32"/>
          <w:lang w:val="en-US" w:eastAsia="zh-CN"/>
        </w:rPr>
        <w:t>七、国有资本经营预算支出情况说明</w:t>
      </w:r>
      <w:bookmarkEnd w:id="34"/>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highlight w:val="none"/>
        </w:rPr>
        <w:t>广元市文化广播电视和旅游局</w:t>
      </w:r>
      <w:r>
        <w:rPr>
          <w:rFonts w:hint="eastAsia" w:ascii="仿宋_GB2312" w:hAnsi="仿宋_GB2312" w:eastAsia="仿宋_GB2312" w:cs="仿宋_GB2312"/>
          <w:sz w:val="32"/>
          <w:szCs w:val="32"/>
          <w:lang w:val="en-US" w:eastAsia="zh-CN"/>
        </w:rPr>
        <w:t>2025年无国有资本经营预算拨款安排的支出。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bookmarkStart w:id="35" w:name="_Toc6102"/>
      <w:r>
        <w:rPr>
          <w:rFonts w:hint="eastAsia" w:ascii="黑体" w:hAnsi="黑体" w:eastAsia="黑体" w:cs="黑体"/>
          <w:sz w:val="32"/>
          <w:szCs w:val="32"/>
          <w:lang w:val="en-US" w:eastAsia="zh-CN"/>
        </w:rPr>
        <w:t>八、其他重要事项的情况说明</w:t>
      </w:r>
      <w:bookmarkEnd w:id="35"/>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36" w:name="_Toc14303"/>
      <w:bookmarkStart w:id="37" w:name="_Toc3495"/>
      <w:r>
        <w:rPr>
          <w:rFonts w:hint="eastAsia" w:ascii="楷体_GB2312" w:hAnsi="楷体_GB2312" w:eastAsia="楷体_GB2312" w:cs="楷体_GB2312"/>
          <w:sz w:val="32"/>
          <w:szCs w:val="32"/>
          <w:lang w:val="en-US" w:eastAsia="zh-CN"/>
        </w:rPr>
        <w:t>（一）机关运行经费</w:t>
      </w:r>
      <w:bookmarkEnd w:id="36"/>
      <w:bookmarkEnd w:id="37"/>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2025年，</w:t>
      </w:r>
      <w:r>
        <w:rPr>
          <w:rFonts w:hint="eastAsia" w:ascii="仿宋_GB2312" w:hAnsi="仿宋_GB2312" w:eastAsia="仿宋_GB2312" w:cs="仿宋_GB2312"/>
          <w:color w:val="auto"/>
          <w:sz w:val="32"/>
          <w:szCs w:val="32"/>
          <w:lang w:val="en-US" w:eastAsia="zh-CN"/>
        </w:rPr>
        <w:t>广元市文化广播电视和旅游局机关运行经费财政拨款预算为175.92万元，比2024年预算增加19.69万元，增长12.60%。主要原因是</w:t>
      </w:r>
      <w:r>
        <w:rPr>
          <w:rFonts w:hint="eastAsia" w:ascii="仿宋_GB2312" w:hAnsi="仿宋_GB2312" w:eastAsia="仿宋_GB2312" w:cs="仿宋_GB2312"/>
          <w:color w:val="auto"/>
          <w:sz w:val="32"/>
          <w:szCs w:val="32"/>
          <w:highlight w:val="none"/>
          <w:lang w:val="en-US" w:eastAsia="zh-CN"/>
        </w:rPr>
        <w:t>机关运行经费中增加了食堂补助经费</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38" w:name="_Toc17105"/>
      <w:bookmarkStart w:id="39" w:name="_Toc18404"/>
      <w:r>
        <w:rPr>
          <w:rFonts w:hint="eastAsia" w:ascii="楷体_GB2312" w:hAnsi="楷体_GB2312" w:eastAsia="楷体_GB2312" w:cs="楷体_GB2312"/>
          <w:sz w:val="32"/>
          <w:szCs w:val="32"/>
          <w:lang w:val="en-US" w:eastAsia="zh-CN"/>
        </w:rPr>
        <w:t>（二）政府采购情况</w:t>
      </w:r>
      <w:bookmarkEnd w:id="38"/>
      <w:bookmarkEnd w:id="39"/>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2025年，</w:t>
      </w:r>
      <w:r>
        <w:rPr>
          <w:rFonts w:hint="eastAsia" w:ascii="仿宋_GB2312" w:hAnsi="仿宋_GB2312" w:eastAsia="仿宋_GB2312" w:cs="仿宋_GB2312"/>
          <w:color w:val="auto"/>
          <w:sz w:val="32"/>
          <w:szCs w:val="32"/>
          <w:lang w:val="en-US" w:eastAsia="zh-CN"/>
        </w:rPr>
        <w:t>广元市文化广播电视和旅游局</w:t>
      </w:r>
      <w:r>
        <w:rPr>
          <w:rFonts w:hint="eastAsia" w:ascii="仿宋_GB2312" w:hAnsi="仿宋_GB2312" w:eastAsia="仿宋_GB2312" w:cs="仿宋_GB2312"/>
          <w:sz w:val="32"/>
          <w:szCs w:val="32"/>
          <w:lang w:val="en-US" w:eastAsia="zh-CN"/>
        </w:rPr>
        <w:t>安排政府采购预算18万元，其中：政府采购服务预算18万元。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lang w:val="en-US" w:eastAsia="zh-CN"/>
        </w:rPr>
      </w:pPr>
      <w:bookmarkStart w:id="40" w:name="_Toc30842"/>
      <w:bookmarkStart w:id="41" w:name="_Toc6319"/>
      <w:r>
        <w:rPr>
          <w:rFonts w:hint="eastAsia" w:ascii="楷体_GB2312" w:hAnsi="楷体_GB2312" w:eastAsia="楷体_GB2312" w:cs="楷体_GB2312"/>
          <w:sz w:val="32"/>
          <w:szCs w:val="32"/>
          <w:lang w:val="en-US" w:eastAsia="zh-CN"/>
        </w:rPr>
        <w:t>（三）国有资产占有使用情况</w:t>
      </w:r>
      <w:bookmarkEnd w:id="40"/>
      <w:bookmarkEnd w:id="41"/>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截至2024年底，广元市文化广播电视和旅游局共有车辆4辆，其中：公务用车4辆。单位无价值200万元以上的大型设备。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2025年部门预算未安排购置车辆及单位价值200万元以上大型设备。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2"/>
        <w:rPr>
          <w:rFonts w:hint="eastAsia" w:ascii="楷体_GB2312" w:hAnsi="楷体_GB2312" w:eastAsia="楷体_GB2312" w:cs="楷体_GB2312"/>
          <w:sz w:val="32"/>
          <w:szCs w:val="32"/>
        </w:rPr>
      </w:pPr>
      <w:bookmarkStart w:id="42" w:name="_Toc12403"/>
      <w:bookmarkStart w:id="43" w:name="_Toc19318"/>
      <w:r>
        <w:rPr>
          <w:rFonts w:hint="eastAsia" w:ascii="楷体_GB2312" w:hAnsi="楷体_GB2312" w:eastAsia="楷体_GB2312" w:cs="楷体_GB2312"/>
          <w:sz w:val="32"/>
          <w:szCs w:val="32"/>
          <w:lang w:val="en-US" w:eastAsia="zh-CN"/>
        </w:rPr>
        <w:t>（四）绩效目标设置情况</w:t>
      </w:r>
      <w:bookmarkEnd w:id="42"/>
      <w:bookmarkEnd w:id="43"/>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yellow"/>
          <w:lang w:val="en-US" w:eastAsia="zh-CN"/>
        </w:rPr>
      </w:pPr>
      <w:r>
        <w:rPr>
          <w:rFonts w:hint="eastAsia" w:ascii="仿宋_GB2312" w:hAnsi="仿宋_GB2312" w:eastAsia="仿宋_GB2312" w:cs="仿宋_GB2312"/>
          <w:color w:val="auto"/>
          <w:sz w:val="32"/>
          <w:szCs w:val="32"/>
          <w:highlight w:val="none"/>
        </w:rPr>
        <w:t>2025年广元市文化广播电视和旅游局开展绩效目标管理的项目</w:t>
      </w:r>
      <w:r>
        <w:rPr>
          <w:rFonts w:hint="eastAsia" w:ascii="仿宋_GB2312" w:hAnsi="仿宋_GB2312" w:eastAsia="仿宋_GB2312" w:cs="仿宋_GB2312"/>
          <w:color w:val="auto"/>
          <w:sz w:val="32"/>
          <w:szCs w:val="32"/>
          <w:highlight w:val="none"/>
          <w:lang w:val="en-US" w:eastAsia="zh-CN"/>
        </w:rPr>
        <w:t>23</w:t>
      </w:r>
      <w:r>
        <w:rPr>
          <w:rFonts w:hint="eastAsia" w:ascii="仿宋_GB2312" w:hAnsi="仿宋_GB2312" w:eastAsia="仿宋_GB2312" w:cs="仿宋_GB2312"/>
          <w:color w:val="auto"/>
          <w:sz w:val="32"/>
          <w:szCs w:val="32"/>
          <w:highlight w:val="none"/>
        </w:rPr>
        <w:t>个，涉及预算</w:t>
      </w:r>
      <w:r>
        <w:rPr>
          <w:rFonts w:hint="eastAsia" w:ascii="仿宋_GB2312" w:hAnsi="仿宋_GB2312" w:eastAsia="仿宋_GB2312" w:cs="仿宋_GB2312"/>
          <w:color w:val="auto"/>
          <w:sz w:val="32"/>
          <w:szCs w:val="32"/>
          <w:highlight w:val="none"/>
          <w:lang w:val="en-US" w:eastAsia="zh-CN"/>
        </w:rPr>
        <w:t>1323.83</w:t>
      </w:r>
      <w:r>
        <w:rPr>
          <w:rFonts w:hint="eastAsia" w:ascii="仿宋_GB2312" w:hAnsi="仿宋_GB2312" w:eastAsia="仿宋_GB2312" w:cs="仿宋_GB2312"/>
          <w:color w:val="auto"/>
          <w:sz w:val="32"/>
          <w:szCs w:val="32"/>
          <w:highlight w:val="none"/>
        </w:rPr>
        <w:t>万元。其中：人员类项目</w:t>
      </w:r>
      <w:r>
        <w:rPr>
          <w:rFonts w:hint="eastAsia" w:ascii="仿宋_GB2312" w:hAnsi="仿宋_GB2312" w:eastAsia="仿宋_GB2312" w:cs="仿宋_GB2312"/>
          <w:color w:val="auto"/>
          <w:sz w:val="32"/>
          <w:szCs w:val="32"/>
          <w:highlight w:val="none"/>
          <w:lang w:val="en-US" w:eastAsia="zh-CN"/>
        </w:rPr>
        <w:t>10</w:t>
      </w:r>
      <w:r>
        <w:rPr>
          <w:rFonts w:hint="eastAsia" w:ascii="仿宋_GB2312" w:hAnsi="仿宋_GB2312" w:eastAsia="仿宋_GB2312" w:cs="仿宋_GB2312"/>
          <w:color w:val="auto"/>
          <w:sz w:val="32"/>
          <w:szCs w:val="32"/>
          <w:highlight w:val="none"/>
        </w:rPr>
        <w:t>个，涉及预算</w:t>
      </w:r>
      <w:r>
        <w:rPr>
          <w:rFonts w:hint="eastAsia" w:ascii="仿宋_GB2312" w:hAnsi="仿宋_GB2312" w:eastAsia="仿宋_GB2312" w:cs="仿宋_GB2312"/>
          <w:color w:val="auto"/>
          <w:sz w:val="32"/>
          <w:szCs w:val="32"/>
          <w:highlight w:val="none"/>
          <w:lang w:val="en-US" w:eastAsia="zh-CN"/>
        </w:rPr>
        <w:t>938.04</w:t>
      </w:r>
      <w:r>
        <w:rPr>
          <w:rFonts w:hint="eastAsia" w:ascii="仿宋_GB2312" w:hAnsi="仿宋_GB2312" w:eastAsia="仿宋_GB2312" w:cs="仿宋_GB2312"/>
          <w:color w:val="auto"/>
          <w:sz w:val="32"/>
          <w:szCs w:val="32"/>
          <w:highlight w:val="none"/>
        </w:rPr>
        <w:t>万元；运转类项目</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个，涉及预算</w:t>
      </w:r>
      <w:r>
        <w:rPr>
          <w:rFonts w:hint="eastAsia" w:ascii="仿宋_GB2312" w:hAnsi="仿宋_GB2312" w:eastAsia="仿宋_GB2312" w:cs="仿宋_GB2312"/>
          <w:color w:val="auto"/>
          <w:sz w:val="32"/>
          <w:szCs w:val="32"/>
          <w:highlight w:val="none"/>
          <w:lang w:val="en-US" w:eastAsia="zh-CN"/>
        </w:rPr>
        <w:t>175.92</w:t>
      </w:r>
      <w:r>
        <w:rPr>
          <w:rFonts w:hint="eastAsia" w:ascii="仿宋_GB2312" w:hAnsi="仿宋_GB2312" w:eastAsia="仿宋_GB2312" w:cs="仿宋_GB2312"/>
          <w:color w:val="auto"/>
          <w:sz w:val="32"/>
          <w:szCs w:val="32"/>
          <w:highlight w:val="none"/>
        </w:rPr>
        <w:t>万元；特定目标类项目</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rPr>
        <w:t>个，涉及预算</w:t>
      </w:r>
      <w:r>
        <w:rPr>
          <w:rFonts w:hint="eastAsia" w:ascii="仿宋_GB2312" w:hAnsi="仿宋_GB2312" w:eastAsia="仿宋_GB2312" w:cs="仿宋_GB2312"/>
          <w:color w:val="auto"/>
          <w:sz w:val="32"/>
          <w:szCs w:val="32"/>
          <w:highlight w:val="none"/>
          <w:lang w:val="en-US" w:eastAsia="zh-CN"/>
        </w:rPr>
        <w:t>209.87</w:t>
      </w:r>
      <w:r>
        <w:rPr>
          <w:rFonts w:hint="eastAsia" w:ascii="仿宋_GB2312" w:hAnsi="仿宋_GB2312" w:eastAsia="仿宋_GB2312" w:cs="仿宋_GB2312"/>
          <w:color w:val="auto"/>
          <w:sz w:val="32"/>
          <w:szCs w:val="32"/>
          <w:highlight w:val="none"/>
        </w:rPr>
        <w:t>万元。</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bCs/>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rightChars="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44" w:name="_Toc6318"/>
      <w:r>
        <w:rPr>
          <w:rFonts w:hint="eastAsia" w:ascii="方正小标宋简体" w:hAnsi="方正小标宋简体" w:eastAsia="方正小标宋简体" w:cs="方正小标宋简体"/>
          <w:b w:val="0"/>
          <w:bCs w:val="0"/>
          <w:i w:val="0"/>
          <w:caps w:val="0"/>
          <w:color w:val="000000" w:themeColor="text1"/>
          <w:spacing w:val="0"/>
          <w:kern w:val="0"/>
          <w:sz w:val="44"/>
          <w:szCs w:val="44"/>
          <w:shd w:val="clear" w:fill="FFFFFF"/>
          <w:lang w:val="en-US" w:eastAsia="zh-CN" w:bidi="ar"/>
          <w14:textFill>
            <w14:solidFill>
              <w14:schemeClr w14:val="tx1"/>
            </w14:solidFill>
          </w14:textFill>
        </w:rPr>
        <w:t xml:space="preserve">第三部分 </w:t>
      </w: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名词解释</w:t>
      </w:r>
      <w:bookmarkEnd w:id="44"/>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p>
    <w:p>
      <w:pPr>
        <w:ind w:firstLine="640" w:firstLineChars="200"/>
        <w:rPr>
          <w:rFonts w:hint="eastAsia" w:ascii="仿宋_GB2312" w:hAnsi="仿宋_GB2312" w:eastAsia="仿宋_GB2312" w:cs="仿宋_GB2312"/>
          <w:color w:val="auto"/>
          <w:sz w:val="32"/>
          <w:szCs w:val="32"/>
          <w:highlight w:val="none"/>
        </w:rPr>
      </w:pPr>
      <w:r>
        <w:rPr>
          <w:rFonts w:hint="eastAsia" w:ascii="黑体" w:hAnsi="黑体" w:eastAsia="黑体" w:cs="黑体"/>
          <w:color w:val="auto"/>
          <w:sz w:val="32"/>
          <w:szCs w:val="32"/>
          <w:highlight w:val="none"/>
        </w:rPr>
        <w:t>一、财政拨款收入:</w:t>
      </w:r>
      <w:r>
        <w:rPr>
          <w:rFonts w:hint="eastAsia" w:ascii="仿宋_GB2312" w:hAnsi="仿宋_GB2312" w:eastAsia="仿宋_GB2312" w:cs="仿宋_GB2312"/>
          <w:color w:val="auto"/>
          <w:sz w:val="32"/>
          <w:szCs w:val="32"/>
          <w:highlight w:val="none"/>
        </w:rPr>
        <w:t>指市财政当年安排的财政预算收入。按现行管理制度</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部门预算中反映的财政拨款包括一般公共预算拨款和政府性基金预算拨款。</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二</w:t>
      </w:r>
      <w:r>
        <w:rPr>
          <w:rFonts w:hint="eastAsia" w:ascii="黑体" w:hAnsi="黑体" w:eastAsia="黑体" w:cs="黑体"/>
          <w:color w:val="auto"/>
          <w:sz w:val="32"/>
          <w:szCs w:val="32"/>
          <w:highlight w:val="none"/>
        </w:rPr>
        <w:t>、上年结转：</w:t>
      </w:r>
      <w:r>
        <w:rPr>
          <w:rFonts w:hint="eastAsia" w:ascii="仿宋_GB2312" w:hAnsi="仿宋_GB2312" w:eastAsia="仿宋_GB2312" w:cs="仿宋_GB2312"/>
          <w:color w:val="auto"/>
          <w:sz w:val="32"/>
          <w:szCs w:val="32"/>
          <w:highlight w:val="none"/>
        </w:rPr>
        <w:t>指以前年度尚未完成，结转到本年仍按原规定用途继续使用的资金。</w:t>
      </w:r>
      <w:r>
        <w:rPr>
          <w:rFonts w:hint="eastAsia" w:ascii="仿宋_GB2312" w:hAnsi="仿宋_GB2312" w:eastAsia="仿宋_GB2312" w:cs="仿宋_GB2312"/>
          <w:color w:val="auto"/>
          <w:sz w:val="32"/>
          <w:szCs w:val="32"/>
          <w:highlight w:val="none"/>
        </w:rPr>
        <w:br w:type="textWrapping"/>
      </w:r>
      <w:r>
        <w:rPr>
          <w:rFonts w:hint="eastAsia" w:ascii="仿宋_GB2312" w:hAnsi="仿宋_GB2312" w:eastAsia="仿宋_GB2312" w:cs="仿宋_GB2312"/>
          <w:color w:val="auto"/>
          <w:sz w:val="32"/>
          <w:szCs w:val="32"/>
          <w:highlight w:val="none"/>
        </w:rPr>
        <w:t>　　</w:t>
      </w:r>
      <w:r>
        <w:rPr>
          <w:rFonts w:hint="eastAsia" w:ascii="黑体" w:hAnsi="黑体" w:eastAsia="黑体" w:cs="黑体"/>
          <w:color w:val="auto"/>
          <w:sz w:val="32"/>
          <w:szCs w:val="32"/>
          <w:highlight w:val="none"/>
          <w:lang w:val="en-US" w:eastAsia="zh-CN"/>
        </w:rPr>
        <w:t>三</w:t>
      </w:r>
      <w:r>
        <w:rPr>
          <w:rFonts w:hint="eastAsia" w:ascii="黑体" w:hAnsi="黑体" w:eastAsia="黑体" w:cs="黑体"/>
          <w:color w:val="auto"/>
          <w:sz w:val="32"/>
          <w:szCs w:val="32"/>
          <w:highlight w:val="none"/>
        </w:rPr>
        <w:t>、</w:t>
      </w:r>
      <w:r>
        <w:rPr>
          <w:rFonts w:hint="eastAsia" w:ascii="黑体" w:hAnsi="黑体" w:eastAsia="黑体" w:cs="黑体"/>
          <w:color w:val="auto"/>
          <w:sz w:val="32"/>
          <w:szCs w:val="32"/>
          <w:highlight w:val="none"/>
          <w:lang w:val="en-US" w:eastAsia="zh-CN"/>
        </w:rPr>
        <w:t>文化旅游体育与传媒支出(类)文化和旅游(款)行政运行(项)：</w:t>
      </w:r>
      <w:r>
        <w:rPr>
          <w:rFonts w:hint="eastAsia" w:ascii="仿宋_GB2312" w:hAnsi="仿宋_GB2312" w:eastAsia="仿宋_GB2312" w:cs="仿宋_GB2312"/>
          <w:color w:val="auto"/>
          <w:sz w:val="32"/>
          <w:szCs w:val="32"/>
          <w:highlight w:val="none"/>
          <w:lang w:val="en-US" w:eastAsia="zh-CN"/>
        </w:rPr>
        <w:t>反映行政单位(包括实行公务员管理的事业单位)的基本支出。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五、文化旅游体育与传媒支出(类)文化和旅游(款)一般行政管理事务(项)：</w:t>
      </w:r>
      <w:r>
        <w:rPr>
          <w:rFonts w:hint="eastAsia" w:ascii="仿宋_GB2312" w:hAnsi="仿宋_GB2312" w:eastAsia="仿宋_GB2312" w:cs="仿宋_GB2312"/>
          <w:color w:val="auto"/>
          <w:sz w:val="32"/>
          <w:szCs w:val="32"/>
          <w:highlight w:val="none"/>
          <w:lang w:val="en-US" w:eastAsia="zh-CN"/>
        </w:rPr>
        <w:t>反映行政单位(包括实行公务员管理的事业单位)未单独设置项级科目的其他项目支出。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六、文化旅游体育与传媒支出(类)文化和旅游(款)文化和旅游市场管理(项)：</w:t>
      </w:r>
      <w:r>
        <w:rPr>
          <w:rFonts w:hint="eastAsia" w:ascii="仿宋_GB2312" w:hAnsi="仿宋_GB2312" w:eastAsia="仿宋_GB2312" w:cs="仿宋_GB2312"/>
          <w:color w:val="auto"/>
          <w:sz w:val="32"/>
          <w:szCs w:val="32"/>
          <w:highlight w:val="none"/>
          <w:lang w:val="en-US" w:eastAsia="zh-CN"/>
        </w:rPr>
        <w:t>反映文化和旅游执法检查等文化旅游市场管理方面的支出。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七、文化旅游体育与传媒支出(类)文化和旅游(款)旅游宣传（项）：</w:t>
      </w:r>
      <w:r>
        <w:rPr>
          <w:rFonts w:hint="eastAsia" w:ascii="仿宋_GB2312" w:hAnsi="仿宋_GB2312" w:eastAsia="仿宋_GB2312" w:cs="仿宋_GB2312"/>
          <w:color w:val="auto"/>
          <w:sz w:val="32"/>
          <w:szCs w:val="32"/>
          <w:highlight w:val="none"/>
          <w:lang w:val="en-US" w:eastAsia="zh-CN"/>
        </w:rPr>
        <w:t>反映在境内外开展各类旅游宣传促销活动的支出，包括驻外旅游机构宣传费、境外宣传促销费、境内宣传促销费、海外记者及旅行商接待费、旅游宣传品制作费及设备购置费等。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八、文化旅游体育与传媒支出(类)文化和旅游(款)文化和旅游管理事务(项)：</w:t>
      </w:r>
      <w:r>
        <w:rPr>
          <w:rFonts w:hint="eastAsia" w:ascii="仿宋_GB2312" w:hAnsi="仿宋_GB2312" w:eastAsia="仿宋_GB2312" w:cs="仿宋_GB2312"/>
          <w:color w:val="auto"/>
          <w:sz w:val="32"/>
          <w:szCs w:val="32"/>
          <w:highlight w:val="none"/>
          <w:lang w:val="en-US" w:eastAsia="zh-CN"/>
        </w:rPr>
        <w:t>反映文化和旅游管理事务支出。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九、文化旅游体育与传媒支出(类)文物(款)文物保护(项)：</w:t>
      </w:r>
      <w:r>
        <w:rPr>
          <w:rFonts w:hint="eastAsia" w:ascii="仿宋_GB2312" w:hAnsi="仿宋_GB2312" w:eastAsia="仿宋_GB2312" w:cs="仿宋_GB2312"/>
          <w:color w:val="auto"/>
          <w:sz w:val="32"/>
          <w:szCs w:val="32"/>
          <w:highlight w:val="none"/>
          <w:lang w:val="en-US" w:eastAsia="zh-CN"/>
        </w:rPr>
        <w:t>反映考古发掘及文物保护方面的支出。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十、社会保障和就业（类）行政事业单位养老支出（款）机关事业单位基本养老保险缴费支出（项）：</w:t>
      </w:r>
      <w:r>
        <w:rPr>
          <w:rFonts w:hint="eastAsia" w:ascii="仿宋_GB2312" w:hAnsi="仿宋_GB2312" w:eastAsia="仿宋_GB2312" w:cs="仿宋_GB2312"/>
          <w:color w:val="auto"/>
          <w:sz w:val="32"/>
          <w:szCs w:val="32"/>
          <w:highlight w:val="none"/>
          <w:lang w:val="en-US" w:eastAsia="zh-CN"/>
        </w:rPr>
        <w:t>反映机关事业单位实施养老保险制度由单位缴纳的基本养老保险费支出。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楷体_GB2312" w:hAnsi="楷体_GB2312" w:eastAsia="楷体_GB2312" w:cs="楷体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十一、社会保障和就业（类）其他社会保障和就业支出（款）其他社会保障和就业支出（项）：</w:t>
      </w:r>
      <w:r>
        <w:rPr>
          <w:rFonts w:hint="eastAsia" w:ascii="仿宋_GB2312" w:hAnsi="仿宋_GB2312" w:eastAsia="仿宋_GB2312" w:cs="仿宋_GB2312"/>
          <w:color w:val="auto"/>
          <w:sz w:val="32"/>
          <w:szCs w:val="32"/>
          <w:highlight w:val="none"/>
          <w:lang w:val="en-US" w:eastAsia="zh-CN"/>
        </w:rPr>
        <w:t>反映除上述项目以外其他用于社会保障和就业方面的支出。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十二、卫生健康支出（类）行政事业单位医疗（款）行政单位医疗（项）：</w:t>
      </w:r>
      <w:r>
        <w:rPr>
          <w:rFonts w:hint="eastAsia" w:ascii="仿宋_GB2312" w:hAnsi="仿宋_GB2312" w:eastAsia="仿宋_GB2312" w:cs="仿宋_GB2312"/>
          <w:color w:val="auto"/>
          <w:sz w:val="32"/>
          <w:szCs w:val="32"/>
          <w:highlight w:val="none"/>
          <w:lang w:val="en-US" w:eastAsia="zh-CN"/>
        </w:rPr>
        <w:t>反映财政部门安排的行政单位（包括实行公务员管理的事业单位，下同）基本医疗保险缴费经费，未参加医疗保险的的行政单位的公费医疗经费，按国家规定享受离休人员、红军老战士待遇人员的医疗经费。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十三、住房保障支出（类）住房改革支出（款）住房公积金（项）：</w:t>
      </w:r>
      <w:r>
        <w:rPr>
          <w:rFonts w:hint="eastAsia" w:ascii="仿宋_GB2312" w:hAnsi="仿宋_GB2312" w:eastAsia="仿宋_GB2312" w:cs="仿宋_GB2312"/>
          <w:color w:val="auto"/>
          <w:sz w:val="32"/>
          <w:szCs w:val="32"/>
          <w:highlight w:val="none"/>
          <w:lang w:val="en-US" w:eastAsia="zh-CN"/>
        </w:rPr>
        <w:t>反映行政事业单位按人力资源和社会保障部、财政部规定的基本工资和津贴补贴以及规定比例为职工缴纳的住房公积金。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十四、基本支出：</w:t>
      </w:r>
      <w:r>
        <w:rPr>
          <w:rFonts w:hint="eastAsia" w:ascii="仿宋_GB2312" w:hAnsi="仿宋_GB2312" w:eastAsia="仿宋_GB2312" w:cs="仿宋_GB2312"/>
          <w:color w:val="auto"/>
          <w:sz w:val="32"/>
          <w:szCs w:val="32"/>
          <w:highlight w:val="none"/>
          <w:lang w:val="en-US" w:eastAsia="zh-CN"/>
        </w:rPr>
        <w:t>指为保证机构正常运转，完成日常工作任务而发生的人员支出和公用支出。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十五、项目支出：</w:t>
      </w:r>
      <w:r>
        <w:rPr>
          <w:rFonts w:hint="eastAsia" w:ascii="仿宋_GB2312" w:hAnsi="仿宋_GB2312" w:eastAsia="仿宋_GB2312" w:cs="仿宋_GB2312"/>
          <w:color w:val="auto"/>
          <w:sz w:val="32"/>
          <w:szCs w:val="32"/>
          <w:highlight w:val="none"/>
          <w:lang w:val="en-US" w:eastAsia="zh-CN"/>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十六、“三公”经费：</w:t>
      </w:r>
      <w:r>
        <w:rPr>
          <w:rFonts w:hint="eastAsia" w:ascii="仿宋_GB2312" w:hAnsi="仿宋_GB2312" w:eastAsia="仿宋_GB2312" w:cs="仿宋_GB2312"/>
          <w:color w:val="auto"/>
          <w:sz w:val="32"/>
          <w:szCs w:val="32"/>
          <w:highlight w:val="none"/>
          <w:lang w:val="en-US" w:eastAsia="zh-CN"/>
        </w:rPr>
        <w:t>纳入财政局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十七、机关运行经费：</w:t>
      </w:r>
      <w:r>
        <w:rPr>
          <w:rFonts w:hint="eastAsia" w:ascii="仿宋_GB2312" w:hAnsi="仿宋_GB2312" w:eastAsia="仿宋_GB2312" w:cs="仿宋_GB2312"/>
          <w:color w:val="auto"/>
          <w:sz w:val="32"/>
          <w:szCs w:val="32"/>
          <w:highlight w:val="none"/>
          <w:lang w:val="en-US" w:eastAsia="zh-CN"/>
        </w:rPr>
        <w:t>为保障行政单位（包括参照公务员法管理的事业单位）运行用于购买货物和服务的各项资金，包括办公及印刷费、邮电费、差旅费、会议费、培训费、福利费、日常维修费、专用材料及一般设备购置费、办公用房水电费、办公用房物业管理费、公务用车运行维护费以及其他费用。</w:t>
      </w:r>
    </w:p>
    <w:p>
      <w:pPr>
        <w:spacing w:line="576" w:lineRule="exact"/>
        <w:ind w:firstLine="642" w:firstLineChars="200"/>
        <w:rPr>
          <w:rFonts w:hint="eastAsia" w:ascii="仿宋_GB2312" w:hAnsi="仿宋_GB2312" w:eastAsia="仿宋_GB2312" w:cs="仿宋_GB2312"/>
          <w:b/>
          <w:bCs/>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rightChars="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45" w:name="_Toc14415"/>
      <w:r>
        <w:rPr>
          <w:rFonts w:hint="eastAsia" w:ascii="方正小标宋简体" w:hAnsi="方正小标宋简体" w:eastAsia="方正小标宋简体" w:cs="方正小标宋简体"/>
          <w:b w:val="0"/>
          <w:bCs w:val="0"/>
          <w:i w:val="0"/>
          <w:caps w:val="0"/>
          <w:color w:val="000000" w:themeColor="text1"/>
          <w:spacing w:val="0"/>
          <w:kern w:val="0"/>
          <w:sz w:val="44"/>
          <w:szCs w:val="44"/>
          <w:shd w:val="clear" w:fill="FFFFFF"/>
          <w:lang w:val="en-US" w:eastAsia="zh-CN" w:bidi="ar"/>
          <w14:textFill>
            <w14:solidFill>
              <w14:schemeClr w14:val="tx1"/>
            </w14:solidFill>
          </w14:textFill>
        </w:rPr>
        <w:t xml:space="preserve">第四部分  </w:t>
      </w: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广元市文化广播电视和旅游局</w:t>
      </w:r>
      <w:bookmarkEnd w:id="45"/>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rightChars="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 xml:space="preserve">        </w:t>
      </w:r>
      <w:bookmarkStart w:id="46" w:name="_Toc23491"/>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2025年单位预算表</w:t>
      </w:r>
      <w:bookmarkEnd w:id="46"/>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pgSz w:w="11906" w:h="16838"/>
          <w:pgMar w:top="2098" w:right="1474" w:bottom="1984" w:left="1587" w:header="720" w:footer="1559" w:gutter="0"/>
          <w:pgNumType w:fmt="decimal"/>
          <w:cols w:space="0" w:num="1"/>
          <w:rtlGutter w:val="0"/>
          <w:docGrid w:type="lines" w:linePitch="312" w:charSpace="0"/>
        </w:sectPr>
      </w:pPr>
    </w:p>
    <w:tbl>
      <w:tblPr>
        <w:tblStyle w:val="11"/>
        <w:tblW w:w="1378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924"/>
        <w:gridCol w:w="1969"/>
        <w:gridCol w:w="4924"/>
        <w:gridCol w:w="19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492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969"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92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969"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表1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部门收支总表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92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0" w:type="auto"/>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一、一般公共预算拨款收入 </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一、一般公共服务支出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二、政府性基金预算拨款收入 </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二、外交支出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三、国有资本经营预算拨款收入 </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三、国防支出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四、事业收入 </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四、公共安全支出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五、事业单位经营收入 </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五、教育支出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六、其他收入 </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六、科学技术支出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七、文化旅游体育与传媒支出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1,129.94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八、社会保障和就业支出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九、社会保险基金支出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十、卫生健康支出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十一、节能环保支出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十二、城乡社区支出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十三、农林水支出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十四、交通运输支出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十五、资源勘探工业信息等支出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十六、商业服务业等支出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十七、金融支出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十八、援助其他地区支出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十九、自然资源海洋气象等支出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二十、住房保障支出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二十一、粮油物资储备支出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二十二、国有资本经营预算支出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二十三、灾害防治及应急管理支出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二十四、其他支出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二十五、债务还本支出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二十六、债务付息支出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二十七、债务发行费用支出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二十八、抗疫特别国债安排的支出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3"/>
                <w:lang w:val="en-US" w:eastAsia="zh-CN" w:bidi="ar"/>
              </w:rPr>
              <w:t>本 年 收 入 合 计</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4924" w:type="dxa"/>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3"/>
                <w:lang w:val="en-US" w:eastAsia="zh-CN" w:bidi="ar"/>
              </w:rPr>
              <w:t>本 年 支 出 合 计</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七、上年结转</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  总  计</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  总  计</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r>
    </w:tbl>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lang w:val="en-US" w:eastAsia="zh-CN"/>
        </w:rPr>
      </w:pPr>
    </w:p>
    <w:p>
      <w:pPr>
        <w:rPr>
          <w:rFonts w:hint="eastAsia"/>
          <w:lang w:val="en-US" w:eastAsia="zh-CN"/>
        </w:rPr>
      </w:pPr>
    </w:p>
    <w:tbl>
      <w:tblPr>
        <w:tblStyle w:val="11"/>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
        <w:gridCol w:w="1824"/>
        <w:gridCol w:w="1175"/>
        <w:gridCol w:w="1960"/>
        <w:gridCol w:w="1141"/>
        <w:gridCol w:w="240"/>
        <w:gridCol w:w="584"/>
        <w:gridCol w:w="601"/>
        <w:gridCol w:w="247"/>
        <w:gridCol w:w="222"/>
        <w:gridCol w:w="222"/>
        <w:gridCol w:w="73"/>
        <w:gridCol w:w="149"/>
        <w:gridCol w:w="616"/>
        <w:gridCol w:w="236"/>
        <w:gridCol w:w="222"/>
        <w:gridCol w:w="67"/>
        <w:gridCol w:w="366"/>
        <w:gridCol w:w="384"/>
        <w:gridCol w:w="24"/>
        <w:gridCol w:w="360"/>
        <w:gridCol w:w="384"/>
        <w:gridCol w:w="400"/>
        <w:gridCol w:w="14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982" w:type="pct"/>
          <w:trHeight w:val="286" w:hRule="atLeast"/>
        </w:trPr>
        <w:tc>
          <w:tcPr>
            <w:tcW w:w="1182" w:type="pct"/>
            <w:gridSpan w:val="3"/>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195" w:type="pct"/>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2"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5"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5"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85"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85"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5"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237"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0"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85"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324" w:type="pct"/>
            <w:gridSpan w:val="4"/>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398" w:hRule="atLeast"/>
        </w:trPr>
        <w:tc>
          <w:tcPr>
            <w:tcW w:w="4431" w:type="pct"/>
            <w:gridSpan w:val="22"/>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c>
          <w:tcPr>
            <w:tcW w:w="541" w:type="pct"/>
            <w:tcBorders>
              <w:top w:val="single" w:color="FFFFFF" w:sz="4" w:space="0"/>
              <w:left w:val="single" w:color="FFFFFF" w:sz="4" w:space="0"/>
              <w:bottom w:val="single" w:color="FFFFFF" w:sz="4" w:space="0"/>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341" w:hRule="atLeast"/>
        </w:trPr>
        <w:tc>
          <w:tcPr>
            <w:tcW w:w="703"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1208" w:type="pct"/>
            <w:gridSpan w:val="2"/>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532" w:type="pct"/>
            <w:gridSpan w:val="2"/>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25" w:type="pct"/>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26" w:type="pct"/>
            <w:gridSpan w:val="5"/>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94" w:type="pct"/>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02" w:type="pct"/>
            <w:gridSpan w:val="3"/>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 w:type="pct"/>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8" w:type="pct"/>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8" w:type="pct"/>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8" w:type="pct"/>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4" w:type="pct"/>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41"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427" w:hRule="atLeast"/>
        </w:trPr>
        <w:tc>
          <w:tcPr>
            <w:tcW w:w="1911" w:type="pct"/>
            <w:gridSpan w:val="3"/>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32" w:type="pct"/>
            <w:gridSpan w:val="2"/>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25"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w:t>
            </w:r>
          </w:p>
        </w:tc>
        <w:tc>
          <w:tcPr>
            <w:tcW w:w="526" w:type="pct"/>
            <w:gridSpan w:val="5"/>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一般公共预算拨款收入</w:t>
            </w:r>
          </w:p>
        </w:tc>
        <w:tc>
          <w:tcPr>
            <w:tcW w:w="294" w:type="pct"/>
            <w:gridSpan w:val="2"/>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政府性基金预算拨款收入</w:t>
            </w:r>
          </w:p>
        </w:tc>
        <w:tc>
          <w:tcPr>
            <w:tcW w:w="202" w:type="pct"/>
            <w:gridSpan w:val="3"/>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国有资本经营预算拨款收入</w:t>
            </w:r>
          </w:p>
        </w:tc>
        <w:tc>
          <w:tcPr>
            <w:tcW w:w="141"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事业收入</w:t>
            </w:r>
          </w:p>
        </w:tc>
        <w:tc>
          <w:tcPr>
            <w:tcW w:w="148"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事业单位经营收入 </w:t>
            </w:r>
          </w:p>
        </w:tc>
        <w:tc>
          <w:tcPr>
            <w:tcW w:w="148" w:type="pct"/>
            <w:gridSpan w:val="2"/>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其他收入</w:t>
            </w:r>
          </w:p>
        </w:tc>
        <w:tc>
          <w:tcPr>
            <w:tcW w:w="148"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上级补助收入</w:t>
            </w:r>
          </w:p>
        </w:tc>
        <w:tc>
          <w:tcPr>
            <w:tcW w:w="154"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附属单位上缴收入</w:t>
            </w:r>
          </w:p>
        </w:tc>
        <w:tc>
          <w:tcPr>
            <w:tcW w:w="541"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财政专户管理资金收入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427" w:hRule="atLeast"/>
        </w:trPr>
        <w:tc>
          <w:tcPr>
            <w:tcW w:w="703" w:type="pc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208" w:type="pct"/>
            <w:gridSpan w:val="2"/>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532" w:type="pct"/>
            <w:gridSpan w:val="2"/>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225"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526" w:type="pct"/>
            <w:gridSpan w:val="5"/>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294" w:type="pct"/>
            <w:gridSpan w:val="2"/>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202" w:type="pct"/>
            <w:gridSpan w:val="3"/>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141"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148"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148" w:type="pct"/>
            <w:gridSpan w:val="2"/>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148"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154"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541"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398" w:hRule="atLeast"/>
        </w:trPr>
        <w:tc>
          <w:tcPr>
            <w:tcW w:w="70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208"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532"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225"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26"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294"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20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8"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8"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8"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54"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4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398" w:hRule="atLeast"/>
        </w:trPr>
        <w:tc>
          <w:tcPr>
            <w:tcW w:w="70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208"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32"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225"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26"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294"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20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8"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8"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8"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54"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4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26" w:type="pct"/>
          <w:trHeight w:val="398" w:hRule="atLeast"/>
        </w:trPr>
        <w:tc>
          <w:tcPr>
            <w:tcW w:w="70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208"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广元市文化广播电视和旅游局</w:t>
            </w:r>
          </w:p>
        </w:tc>
        <w:tc>
          <w:tcPr>
            <w:tcW w:w="532"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26"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294"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202"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14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14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148"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14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154"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4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lang w:val="en-US" w:eastAsia="zh-CN"/>
        </w:rPr>
      </w:pPr>
    </w:p>
    <w:tbl>
      <w:tblPr>
        <w:tblStyle w:val="1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22"/>
        <w:gridCol w:w="576"/>
        <w:gridCol w:w="583"/>
        <w:gridCol w:w="1730"/>
        <w:gridCol w:w="4230"/>
        <w:gridCol w:w="1686"/>
        <w:gridCol w:w="1686"/>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735" w:type="pct"/>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670"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634"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653"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3"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3"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039" w:type="pct"/>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653"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53"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53"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3039" w:type="pct"/>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653"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653"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53"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735"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670"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634"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53"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53"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53"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82"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225"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26"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670"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634"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53"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53"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53"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25"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2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7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634"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1,113.96</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209.87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jc w:val="left"/>
              <w:rPr>
                <w:rFonts w:hint="eastAsia" w:ascii="宋体" w:hAnsi="宋体" w:eastAsia="宋体" w:cs="宋体"/>
                <w:i w:val="0"/>
                <w:iCs w:val="0"/>
                <w:color w:val="000000"/>
                <w:sz w:val="22"/>
                <w:szCs w:val="22"/>
                <w:u w:val="none"/>
              </w:rPr>
            </w:pP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1,113.96</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广元市文化广播电视和旅游局</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1,113.96</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行政运行</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902.07</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902.07</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一般行政管理事务</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104.82</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文化和旅游市场管理</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旅游宣传</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20.05</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文化和旅游管理事务</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文物保护</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机关事业单位基本养老保险缴费支出</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其他社会保障和就业支出</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行政单位医疗</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8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225"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2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67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634"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65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653"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lang w:val="en-US" w:eastAsia="zh-CN"/>
        </w:rPr>
      </w:pPr>
    </w:p>
    <w:tbl>
      <w:tblPr>
        <w:tblStyle w:val="1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675"/>
        <w:gridCol w:w="1096"/>
        <w:gridCol w:w="2798"/>
        <w:gridCol w:w="1096"/>
        <w:gridCol w:w="1542"/>
        <w:gridCol w:w="1771"/>
        <w:gridCol w:w="19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1014"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402"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100"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402"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90"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0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85"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表2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1416" w:type="pct"/>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1100"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02"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90"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0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85"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416"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3583" w:type="pct"/>
            <w:gridSpan w:val="5"/>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01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402"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1100"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402"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590"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p>
        </w:tc>
        <w:tc>
          <w:tcPr>
            <w:tcW w:w="70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w:t>
            </w:r>
          </w:p>
        </w:tc>
        <w:tc>
          <w:tcPr>
            <w:tcW w:w="785"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110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一般公共预算拨款收入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一般公共服务支出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政府性基金预算拨款收入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外交支出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国有资本经营预算拨款收入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国防支出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二、上年结转</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公共安全支出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一般公共预算拨款收入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教育支出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政府性基金预算拨款收入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科学技术支出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国有资本经营预算拨款收入</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文化旅游体育与传媒支出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1,129.94</w:t>
            </w: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1,129.94</w:t>
            </w: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社会保障和就业支出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90.56</w:t>
            </w: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90.56</w:t>
            </w: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社会保险基金支出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卫生健康支出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节能环保支出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城乡社区支出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农林水支出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交通运输支出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资源勘探工业信息等支出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商业服务业等支出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金融支出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援助其他地区支出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自然资源海洋气象等支出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住房保障支出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粮油物资储备支出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国有资本经营预算支出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灾害防治及应急管理支出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债务还本支出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债务付息支出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债务发行费用支出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014"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100"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抗疫特别国债安排的支出</w:t>
            </w:r>
          </w:p>
        </w:tc>
        <w:tc>
          <w:tcPr>
            <w:tcW w:w="402"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85"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bl>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lang w:val="en-US" w:eastAsia="zh-CN"/>
        </w:rPr>
      </w:pPr>
    </w:p>
    <w:tbl>
      <w:tblPr>
        <w:tblStyle w:val="11"/>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29"/>
        <w:gridCol w:w="432"/>
        <w:gridCol w:w="916"/>
        <w:gridCol w:w="1615"/>
        <w:gridCol w:w="918"/>
        <w:gridCol w:w="918"/>
        <w:gridCol w:w="918"/>
        <w:gridCol w:w="918"/>
        <w:gridCol w:w="916"/>
        <w:gridCol w:w="566"/>
        <w:gridCol w:w="916"/>
        <w:gridCol w:w="916"/>
        <w:gridCol w:w="567"/>
        <w:gridCol w:w="917"/>
        <w:gridCol w:w="9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13"/>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c>
          <w:tcPr>
            <w:tcW w:w="0" w:type="auto"/>
            <w:tcBorders>
              <w:top w:val="single" w:color="FFFFFF" w:sz="4" w:space="0"/>
              <w:left w:val="single" w:color="FFFFFF" w:sz="4" w:space="0"/>
              <w:bottom w:val="single" w:color="FFFFFF" w:sz="4" w:space="0"/>
              <w:right w:val="single" w:color="FFFFFF" w:sz="4" w:space="0"/>
            </w:tcBorders>
            <w:shd w:val="clear" w:color="auto" w:fill="auto"/>
            <w:noWrap/>
            <w:vAlign w:val="center"/>
          </w:tcPr>
          <w:p>
            <w:pPr>
              <w:jc w:val="center"/>
              <w:rPr>
                <w:rFonts w:hint="eastAsia" w:ascii="宋体" w:hAnsi="宋体" w:eastAsia="宋体" w:cs="宋体"/>
                <w:b/>
                <w:bCs/>
                <w:i w:val="0"/>
                <w:iCs w:val="0"/>
                <w:color w:val="000000"/>
                <w:sz w:val="32"/>
                <w:szCs w:val="32"/>
                <w:u w:val="none"/>
              </w:rPr>
            </w:pPr>
          </w:p>
        </w:tc>
        <w:tc>
          <w:tcPr>
            <w:tcW w:w="0" w:type="auto"/>
            <w:tcBorders>
              <w:top w:val="single" w:color="FFFFFF" w:sz="4" w:space="0"/>
              <w:left w:val="single" w:color="FFFFFF" w:sz="4" w:space="0"/>
              <w:bottom w:val="single" w:color="FFFFFF" w:sz="4" w:space="0"/>
              <w:right w:val="single" w:color="FFFFFF" w:sz="4" w:space="0"/>
            </w:tcBorders>
            <w:shd w:val="clear" w:color="auto" w:fill="auto"/>
            <w:noWrap/>
            <w:vAlign w:val="center"/>
          </w:tcPr>
          <w:p>
            <w:pPr>
              <w:jc w:val="center"/>
              <w:rPr>
                <w:rFonts w:hint="eastAsia" w:ascii="宋体" w:hAnsi="宋体" w:eastAsia="宋体" w:cs="宋体"/>
                <w:b/>
                <w:bCs/>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4"/>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4"/>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0" w:type="auto"/>
            <w:gridSpan w:val="10"/>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市级当年财政拨款安排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0" w:type="auto"/>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0" w:type="auto"/>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0" w:type="auto"/>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1,113.96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209.87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1,113.96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广元市文化广播电视和旅游局</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1,113.96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工资福利支出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792.43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792.43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792.43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792.43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222.72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222.72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222.72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222.72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晋级工资</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津贴补贴</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116.62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116.62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116.62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116.62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公务员规范津贴补贴</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111.78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111.78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111.78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111.78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其他津贴补贴（含工改、审计等）</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奖金</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231.83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年终一次性奖励工资</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优秀公务员奖励（参公人员）</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基础绩效奖</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公务员年度考核奖</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事业人员年度考核奖</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绩效工资</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职工基本医疗保险缴费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其他社会保障缴费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失业保险</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工伤保险</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商品和服务支出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385.79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385.79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385.79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175.92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办公费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印刷费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水费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电费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邮电费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物业管理费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差旅费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维修（护）费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租赁费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会议费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培训费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公务接待费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劳务费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委托业务费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工会经费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食堂补助经费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公务用车运行维护费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其他交通费用</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51.17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37.42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35.84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35.84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35.84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党建经费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退休人员活动经费</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4.47</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14.84</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10.43</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对个人和家庭的补助</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生活补助</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退休人员绩效补助</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141.12</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0" w:type="auto"/>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遗属生活补助</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w:t>
            </w: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r>
    </w:tbl>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tbl>
      <w:tblPr>
        <w:tblStyle w:val="11"/>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1"/>
        <w:gridCol w:w="237"/>
        <w:gridCol w:w="328"/>
        <w:gridCol w:w="291"/>
        <w:gridCol w:w="245"/>
        <w:gridCol w:w="449"/>
        <w:gridCol w:w="440"/>
        <w:gridCol w:w="260"/>
        <w:gridCol w:w="117"/>
        <w:gridCol w:w="376"/>
        <w:gridCol w:w="536"/>
        <w:gridCol w:w="101"/>
        <w:gridCol w:w="436"/>
        <w:gridCol w:w="376"/>
        <w:gridCol w:w="536"/>
        <w:gridCol w:w="536"/>
        <w:gridCol w:w="376"/>
        <w:gridCol w:w="536"/>
        <w:gridCol w:w="536"/>
        <w:gridCol w:w="376"/>
        <w:gridCol w:w="28"/>
        <w:gridCol w:w="348"/>
        <w:gridCol w:w="536"/>
        <w:gridCol w:w="238"/>
        <w:gridCol w:w="298"/>
        <w:gridCol w:w="376"/>
        <w:gridCol w:w="536"/>
        <w:gridCol w:w="536"/>
        <w:gridCol w:w="314"/>
        <w:gridCol w:w="63"/>
        <w:gridCol w:w="536"/>
        <w:gridCol w:w="536"/>
        <w:gridCol w:w="376"/>
        <w:gridCol w:w="333"/>
        <w:gridCol w:w="203"/>
        <w:gridCol w:w="5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2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342"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5"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5"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表2-1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4586" w:type="pct"/>
            <w:gridSpan w:val="33"/>
            <w:tcBorders>
              <w:top w:val="nil"/>
              <w:left w:val="single" w:color="FFFFFF" w:sz="4" w:space="0"/>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财政拨款支出预算表（部门经济分类科目）</w:t>
            </w: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2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342"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5"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5"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206"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144"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413" w:type="pct"/>
            <w:gridSpan w:val="3"/>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801" w:type="pct"/>
            <w:gridSpan w:val="7"/>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    目</w:t>
            </w:r>
          </w:p>
        </w:tc>
        <w:tc>
          <w:tcPr>
            <w:tcW w:w="1819" w:type="pct"/>
            <w:gridSpan w:val="1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中央提前通知专项转移支付等</w:t>
            </w:r>
          </w:p>
        </w:tc>
        <w:tc>
          <w:tcPr>
            <w:tcW w:w="2378" w:type="pct"/>
            <w:gridSpan w:val="17"/>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252" w:type="pct"/>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科目编码</w:t>
            </w:r>
          </w:p>
        </w:tc>
        <w:tc>
          <w:tcPr>
            <w:tcW w:w="206" w:type="pct"/>
            <w:gridSpan w:val="2"/>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单位代码</w:t>
            </w:r>
          </w:p>
        </w:tc>
        <w:tc>
          <w:tcPr>
            <w:tcW w:w="342" w:type="pct"/>
            <w:gridSpan w:val="2"/>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单位名称（科目）</w:t>
            </w:r>
          </w:p>
        </w:tc>
        <w:tc>
          <w:tcPr>
            <w:tcW w:w="145" w:type="pct"/>
            <w:gridSpan w:val="2"/>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558" w:type="pct"/>
            <w:gridSpan w:val="4"/>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一般公共预算拨款</w:t>
            </w:r>
          </w:p>
        </w:tc>
        <w:tc>
          <w:tcPr>
            <w:tcW w:w="558" w:type="pct"/>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政府性基金安排</w:t>
            </w:r>
          </w:p>
        </w:tc>
        <w:tc>
          <w:tcPr>
            <w:tcW w:w="558" w:type="pct"/>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国有资本经营预算安排</w:t>
            </w:r>
          </w:p>
        </w:tc>
        <w:tc>
          <w:tcPr>
            <w:tcW w:w="144" w:type="pct"/>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558" w:type="pct"/>
            <w:gridSpan w:val="5"/>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一般公共预算拨款</w:t>
            </w:r>
          </w:p>
        </w:tc>
        <w:tc>
          <w:tcPr>
            <w:tcW w:w="558" w:type="pct"/>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政府性基金安排</w:t>
            </w:r>
          </w:p>
        </w:tc>
        <w:tc>
          <w:tcPr>
            <w:tcW w:w="558" w:type="pct"/>
            <w:gridSpan w:val="4"/>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国有资本经营预算安排</w:t>
            </w:r>
          </w:p>
        </w:tc>
        <w:tc>
          <w:tcPr>
            <w:tcW w:w="558" w:type="pct"/>
            <w:gridSpan w:val="4"/>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上年应返还额度结转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类</w:t>
            </w:r>
          </w:p>
        </w:tc>
        <w:tc>
          <w:tcPr>
            <w:tcW w:w="12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款</w:t>
            </w:r>
          </w:p>
        </w:tc>
        <w:tc>
          <w:tcPr>
            <w:tcW w:w="206" w:type="pct"/>
            <w:gridSpan w:val="2"/>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18"/>
                <w:szCs w:val="18"/>
                <w:u w:val="none"/>
              </w:rPr>
            </w:pPr>
          </w:p>
        </w:tc>
        <w:tc>
          <w:tcPr>
            <w:tcW w:w="342" w:type="pct"/>
            <w:gridSpan w:val="2"/>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18"/>
                <w:szCs w:val="18"/>
                <w:u w:val="none"/>
              </w:rPr>
            </w:pPr>
          </w:p>
        </w:tc>
        <w:tc>
          <w:tcPr>
            <w:tcW w:w="145" w:type="pct"/>
            <w:gridSpan w:val="2"/>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c>
          <w:tcPr>
            <w:tcW w:w="1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c>
          <w:tcPr>
            <w:tcW w:w="1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c>
          <w:tcPr>
            <w:tcW w:w="144" w:type="pct"/>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c>
          <w:tcPr>
            <w:tcW w:w="1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c>
          <w:tcPr>
            <w:tcW w:w="144"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c>
          <w:tcPr>
            <w:tcW w:w="144"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小计</w:t>
            </w:r>
          </w:p>
        </w:tc>
        <w:tc>
          <w:tcPr>
            <w:tcW w:w="206"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基本支出</w:t>
            </w:r>
          </w:p>
        </w:tc>
        <w:tc>
          <w:tcPr>
            <w:tcW w:w="206"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2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2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42"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5"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44"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gridSpan w:val="2"/>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06"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286" w:hRule="atLeast"/>
        </w:trPr>
        <w:tc>
          <w:tcPr>
            <w:tcW w:w="866" w:type="pct"/>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434" w:type="pct"/>
            <w:gridSpan w:val="4"/>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36" w:type="pct"/>
            <w:gridSpan w:val="9"/>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934" w:type="pct"/>
            <w:gridSpan w:val="13"/>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4671" w:type="pct"/>
            <w:gridSpan w:val="33"/>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41" w:hRule="atLeast"/>
        </w:trPr>
        <w:tc>
          <w:tcPr>
            <w:tcW w:w="2737" w:type="pct"/>
            <w:gridSpan w:val="20"/>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432" w:type="pct"/>
            <w:gridSpan w:val="3"/>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790" w:type="pct"/>
            <w:gridSpan w:val="5"/>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10" w:type="pct"/>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427" w:hRule="atLeast"/>
        </w:trPr>
        <w:tc>
          <w:tcPr>
            <w:tcW w:w="2737" w:type="pct"/>
            <w:gridSpan w:val="20"/>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432" w:type="pct"/>
            <w:gridSpan w:val="3"/>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790" w:type="pct"/>
            <w:gridSpan w:val="5"/>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当年财政拨款安排</w:t>
            </w:r>
          </w:p>
        </w:tc>
        <w:tc>
          <w:tcPr>
            <w:tcW w:w="710" w:type="pct"/>
            <w:gridSpan w:val="5"/>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427" w:hRule="atLeast"/>
        </w:trPr>
        <w:tc>
          <w:tcPr>
            <w:tcW w:w="866" w:type="pct"/>
            <w:gridSpan w:val="7"/>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434" w:type="pct"/>
            <w:gridSpan w:val="4"/>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436" w:type="pct"/>
            <w:gridSpan w:val="9"/>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432" w:type="pct"/>
            <w:gridSpan w:val="3"/>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790" w:type="pct"/>
            <w:gridSpan w:val="5"/>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710" w:type="pct"/>
            <w:gridSpan w:val="5"/>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427"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267" w:type="pct"/>
            <w:gridSpan w:val="2"/>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69" w:type="pct"/>
            <w:gridSpan w:val="2"/>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434" w:type="pct"/>
            <w:gridSpan w:val="4"/>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436" w:type="pct"/>
            <w:gridSpan w:val="9"/>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432" w:type="pct"/>
            <w:gridSpan w:val="3"/>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790" w:type="pct"/>
            <w:gridSpan w:val="5"/>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710" w:type="pct"/>
            <w:gridSpan w:val="5"/>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67"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69" w:type="pct"/>
            <w:gridSpan w:val="2"/>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4" w:type="pct"/>
            <w:gridSpan w:val="4"/>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436" w:type="pct"/>
            <w:gridSpan w:val="9"/>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790"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1,323.83</w:t>
            </w:r>
          </w:p>
        </w:tc>
        <w:tc>
          <w:tcPr>
            <w:tcW w:w="710"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jc w:val="left"/>
              <w:rPr>
                <w:rFonts w:hint="eastAsia" w:ascii="宋体" w:hAnsi="宋体" w:eastAsia="宋体" w:cs="宋体"/>
                <w:i w:val="0"/>
                <w:iCs w:val="0"/>
                <w:color w:val="000000"/>
                <w:sz w:val="22"/>
                <w:szCs w:val="22"/>
                <w:u w:val="none"/>
              </w:rPr>
            </w:pP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790"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710"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广元市文化广播电视和旅游局部门</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790"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1,323.83</w:t>
            </w:r>
          </w:p>
        </w:tc>
        <w:tc>
          <w:tcPr>
            <w:tcW w:w="710" w:type="pct"/>
            <w:gridSpan w:val="5"/>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行政运行</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902.07</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902.07</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一般行政管理事务</w:t>
            </w:r>
          </w:p>
        </w:tc>
        <w:tc>
          <w:tcPr>
            <w:tcW w:w="432"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103.82</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103.82</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文化和旅游市场管理</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旅游宣传</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20.05</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20.05</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文化和旅游管理事务</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32.07</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文物保护</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机关事业单位基本养老保险缴费支出</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其他社会保障和就业支出</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行政单位医疗</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2"/>
          <w:wBefore w:w="35" w:type="pct"/>
          <w:wAfter w:w="293" w:type="pct"/>
          <w:trHeight w:val="398" w:hRule="atLeast"/>
        </w:trPr>
        <w:tc>
          <w:tcPr>
            <w:tcW w:w="329" w:type="pct"/>
            <w:gridSpan w:val="3"/>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267"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69" w:type="pct"/>
            <w:gridSpan w:val="2"/>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434" w:type="pct"/>
            <w:gridSpan w:val="4"/>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1436" w:type="pct"/>
            <w:gridSpan w:val="9"/>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432" w:type="pct"/>
            <w:gridSpan w:val="3"/>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79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710" w:type="pct"/>
            <w:gridSpan w:val="5"/>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tbl>
      <w:tblPr>
        <w:tblStyle w:val="1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9"/>
        <w:gridCol w:w="672"/>
        <w:gridCol w:w="1787"/>
        <w:gridCol w:w="4471"/>
        <w:gridCol w:w="1789"/>
        <w:gridCol w:w="1789"/>
        <w:gridCol w:w="17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17" w:type="pct"/>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689"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23"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90"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90"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89"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2930" w:type="pct"/>
            <w:gridSpan w:val="4"/>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690" w:type="pct"/>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90"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89"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930" w:type="pct"/>
            <w:gridSpan w:val="4"/>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2069" w:type="pct"/>
            <w:gridSpan w:val="3"/>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517" w:type="pct"/>
            <w:gridSpan w:val="2"/>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689" w:type="pct"/>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723" w:type="pct"/>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90" w:type="pct"/>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690" w:type="pct"/>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人员经费</w:t>
            </w:r>
          </w:p>
        </w:tc>
        <w:tc>
          <w:tcPr>
            <w:tcW w:w="689" w:type="pct"/>
            <w:vMerge w:val="restar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58"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258" w:type="pct"/>
            <w:tcBorders>
              <w:top w:val="single" w:color="C0C0C0" w:sz="4" w:space="0"/>
              <w:left w:val="single" w:color="C0C0C0" w:sz="4" w:space="0"/>
              <w:bottom w:val="single" w:color="C0C0C0" w:sz="4" w:space="0"/>
              <w:right w:val="single" w:color="C0C0C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89" w:type="pct"/>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723" w:type="pct"/>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90" w:type="pct"/>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90" w:type="pct"/>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89" w:type="pct"/>
            <w:vMerge w:val="continue"/>
            <w:tcBorders>
              <w:top w:val="single" w:color="C0C0C0" w:sz="4" w:space="0"/>
              <w:left w:val="single" w:color="C0C0C0" w:sz="4" w:space="0"/>
              <w:bottom w:val="single" w:color="C0C0C0" w:sz="4" w:space="0"/>
              <w:right w:val="single" w:color="C0C0C0"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58"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723"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1,113.96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938.04</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175.92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1,113.96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938.04</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广元市文化广播电视和旅游局</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1,113.96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938.04</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工资福利支出</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792.43</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792.43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222.72</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222.72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晋级工资</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220.07</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220.07</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津贴补贴</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116.62</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116.62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公务员规范津贴补贴</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111.78</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111.78</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3010206</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其他津贴补贴（含工改、审计等）</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奖金</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231.83</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231.83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年终一次性奖励工资</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优秀公务员奖励（参公人员）</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3010303</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基础绩效奖</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176.36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176.36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301030501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公务员年度考核奖</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301030502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事业人员年度考核奖</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07</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30107</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绩效工资</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08</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30108</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88.88</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30110</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职工基本医疗保险缴费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28.44</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其他社会保障缴费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失业保险</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0.56</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工伤保险</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30113</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74.90</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商品和服务支出</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175.92</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办公费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印刷费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30205</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水费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30206</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电费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07</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30207</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邮电费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30209</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物业管理费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差旅费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30213</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维修（护）费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30214</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租赁费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30215</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会议费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30216</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培训费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30217</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公务接待费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30226</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劳务费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30227</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委托业务费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30228</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工会经费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6.75</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食堂补助经费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30231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公务用车运行维护费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30239</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其他交通费用</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37.42</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25.41</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党建经费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16.53</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3029902</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退休人员活动经费</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4.47</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302</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3029999</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4.41</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jc w:val="center"/>
              <w:rPr>
                <w:rFonts w:hint="eastAsia" w:ascii="宋体" w:hAnsi="宋体" w:eastAsia="宋体" w:cs="宋体"/>
                <w:i w:val="0"/>
                <w:iCs w:val="0"/>
                <w:color w:val="000000"/>
                <w:kern w:val="0"/>
                <w:sz w:val="22"/>
                <w:szCs w:val="22"/>
                <w:u w:val="none"/>
                <w:lang w:val="en-US" w:eastAsia="zh-CN" w:bidi="ar"/>
              </w:rPr>
            </w:pP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对个人和家庭的补助</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生活补助</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145.61</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3030501</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退休人员绩效补助</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141.12</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141.12</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w:t>
            </w:r>
          </w:p>
        </w:tc>
        <w:tc>
          <w:tcPr>
            <w:tcW w:w="258"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05</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3030504</w:t>
            </w:r>
          </w:p>
        </w:tc>
        <w:tc>
          <w:tcPr>
            <w:tcW w:w="1723" w:type="pct"/>
            <w:tcBorders>
              <w:top w:val="single" w:color="C0C0C0" w:sz="4" w:space="0"/>
              <w:left w:val="single" w:color="C0C0C0" w:sz="4" w:space="0"/>
              <w:bottom w:val="single" w:color="C0C0C0" w:sz="4" w:space="0"/>
              <w:right w:val="single" w:color="C0C0C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遗属生活补助</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w:t>
            </w:r>
          </w:p>
        </w:tc>
        <w:tc>
          <w:tcPr>
            <w:tcW w:w="690"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w:t>
            </w:r>
          </w:p>
        </w:tc>
        <w:tc>
          <w:tcPr>
            <w:tcW w:w="689" w:type="pct"/>
            <w:tcBorders>
              <w:top w:val="single" w:color="C0C0C0" w:sz="4" w:space="0"/>
              <w:left w:val="single" w:color="C0C0C0" w:sz="4" w:space="0"/>
              <w:bottom w:val="single" w:color="C0C0C0" w:sz="4" w:space="0"/>
              <w:right w:val="single" w:color="C0C0C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bl>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tbl>
      <w:tblPr>
        <w:tblStyle w:val="1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29"/>
        <w:gridCol w:w="825"/>
        <w:gridCol w:w="830"/>
        <w:gridCol w:w="1938"/>
        <w:gridCol w:w="5958"/>
        <w:gridCol w:w="23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35" w:type="pct"/>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747"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297"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20"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4079" w:type="pct"/>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920"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1035"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74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29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20"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39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318"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319"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74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229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920"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209.87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jc w:val="left"/>
              <w:rPr>
                <w:rFonts w:hint="eastAsia" w:ascii="宋体" w:hAnsi="宋体" w:eastAsia="宋体" w:cs="宋体"/>
                <w:i w:val="0"/>
                <w:iCs w:val="0"/>
                <w:color w:val="000000"/>
                <w:sz w:val="22"/>
                <w:szCs w:val="22"/>
                <w:u w:val="none"/>
              </w:rPr>
            </w:pP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广元市文化广播电视和旅游局</w:t>
            </w: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一般行政管理事务</w:t>
            </w: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市文旅局村振兴工作经费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向上争取项目资金工作经费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首批“蜀道英才工程”入选者岗位激励资金</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文旅康养产业专班工作经费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文旅资源规划及产业发展工作</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公共文化服务体系建设及艺术交流工作经费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文化和旅游市场管理</w:t>
            </w: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文化旅游行业安全生产及市场管理工作经费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旅游宣传</w:t>
            </w: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文化旅游宣传推广工作经费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文物保护</w:t>
            </w:r>
          </w:p>
        </w:tc>
        <w:tc>
          <w:tcPr>
            <w:tcW w:w="92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39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318"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31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w:t>
            </w:r>
          </w:p>
        </w:tc>
        <w:tc>
          <w:tcPr>
            <w:tcW w:w="74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2297"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文物保护专项经费</w:t>
            </w:r>
          </w:p>
        </w:tc>
        <w:tc>
          <w:tcPr>
            <w:tcW w:w="92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r>
    </w:tbl>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pStyle w:val="2"/>
        <w:rPr>
          <w:rFonts w:hint="eastAsia"/>
          <w:lang w:val="en-US" w:eastAsia="zh-CN"/>
        </w:rPr>
      </w:pPr>
    </w:p>
    <w:tbl>
      <w:tblPr>
        <w:tblStyle w:val="1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63"/>
        <w:gridCol w:w="2812"/>
        <w:gridCol w:w="771"/>
        <w:gridCol w:w="1795"/>
        <w:gridCol w:w="771"/>
        <w:gridCol w:w="1795"/>
        <w:gridCol w:w="1805"/>
        <w:gridCol w:w="17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69"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089"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99"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00"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99"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00"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00"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41"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1658" w:type="pct"/>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299"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700"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299"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700"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700"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41"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569"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1089"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341" w:type="pct"/>
            <w:gridSpan w:val="6"/>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569"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089"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299"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700"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因公出国（境）费用</w:t>
            </w:r>
          </w:p>
        </w:tc>
        <w:tc>
          <w:tcPr>
            <w:tcW w:w="1700"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641"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569"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089"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299"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700"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299"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700"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700"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641"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6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08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29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19.55</w:t>
            </w:r>
          </w:p>
        </w:tc>
        <w:tc>
          <w:tcPr>
            <w:tcW w:w="70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29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18.00</w:t>
            </w:r>
          </w:p>
        </w:tc>
        <w:tc>
          <w:tcPr>
            <w:tcW w:w="70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70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18.00</w:t>
            </w:r>
          </w:p>
        </w:tc>
        <w:tc>
          <w:tcPr>
            <w:tcW w:w="64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6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089"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jc w:val="left"/>
              <w:rPr>
                <w:rFonts w:hint="eastAsia" w:ascii="宋体" w:hAnsi="宋体" w:eastAsia="宋体" w:cs="宋体"/>
                <w:i w:val="0"/>
                <w:iCs w:val="0"/>
                <w:color w:val="000000"/>
                <w:sz w:val="22"/>
                <w:szCs w:val="22"/>
                <w:u w:val="none"/>
              </w:rPr>
            </w:pPr>
          </w:p>
        </w:tc>
        <w:tc>
          <w:tcPr>
            <w:tcW w:w="29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19.55</w:t>
            </w:r>
          </w:p>
        </w:tc>
        <w:tc>
          <w:tcPr>
            <w:tcW w:w="70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299"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70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700"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64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6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325001</w:t>
            </w:r>
          </w:p>
        </w:tc>
        <w:tc>
          <w:tcPr>
            <w:tcW w:w="1089"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广元市文化广播电视和旅游局</w:t>
            </w:r>
          </w:p>
        </w:tc>
        <w:tc>
          <w:tcPr>
            <w:tcW w:w="29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19.55</w:t>
            </w:r>
          </w:p>
        </w:tc>
        <w:tc>
          <w:tcPr>
            <w:tcW w:w="7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299"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7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700"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w:t>
            </w:r>
          </w:p>
        </w:tc>
        <w:tc>
          <w:tcPr>
            <w:tcW w:w="64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r>
    </w:tbl>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tbl>
      <w:tblPr>
        <w:tblStyle w:val="1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9"/>
        <w:gridCol w:w="649"/>
        <w:gridCol w:w="657"/>
        <w:gridCol w:w="1414"/>
        <w:gridCol w:w="4358"/>
        <w:gridCol w:w="1741"/>
        <w:gridCol w:w="1742"/>
        <w:gridCol w:w="17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756" w:type="pct"/>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546"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681"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2983" w:type="pct"/>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672"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983" w:type="pct"/>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2016"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本年政府性基金预算支出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756"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54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681"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7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67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7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5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25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52"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54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681"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7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7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7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本表无数据</w:t>
            </w: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jc w:val="lef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bookmarkStart w:id="47" w:name="_GoBack"/>
      <w:bookmarkEnd w:id="47"/>
    </w:p>
    <w:tbl>
      <w:tblPr>
        <w:tblStyle w:val="1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00"/>
        <w:gridCol w:w="3072"/>
        <w:gridCol w:w="1171"/>
        <w:gridCol w:w="1171"/>
        <w:gridCol w:w="1171"/>
        <w:gridCol w:w="1763"/>
        <w:gridCol w:w="1763"/>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436" w:type="pct"/>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342"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536"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6"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6"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7"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7"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7"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1778" w:type="pct"/>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536"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36"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36"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37"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37" w:type="pct"/>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37"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3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134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3221" w:type="pct"/>
            <w:gridSpan w:val="6"/>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3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34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53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536" w:type="pct"/>
            <w:vMerge w:val="restart"/>
            <w:tcBorders>
              <w:top w:val="single" w:color="C2C3C4" w:sz="4" w:space="0"/>
              <w:left w:val="single" w:color="C2C3C4" w:sz="4" w:space="0"/>
              <w:bottom w:val="single" w:color="C2C3C4" w:sz="4" w:space="0"/>
              <w:right w:val="single" w:color="C2C3C4"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因公出国（境）费用</w:t>
            </w:r>
          </w:p>
        </w:tc>
        <w:tc>
          <w:tcPr>
            <w:tcW w:w="1610"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537"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43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34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53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536" w:type="pct"/>
            <w:vMerge w:val="continue"/>
            <w:tcBorders>
              <w:top w:val="single" w:color="C2C3C4" w:sz="4" w:space="0"/>
              <w:left w:val="single" w:color="C2C3C4" w:sz="4" w:space="0"/>
              <w:bottom w:val="single" w:color="C2C3C4" w:sz="4" w:space="0"/>
              <w:right w:val="single" w:color="C2C3C4" w:sz="4" w:space="0"/>
            </w:tcBorders>
            <w:shd w:val="clear" w:color="EFF2F7" w:fill="EFF2F7"/>
            <w:vAlign w:val="center"/>
          </w:tcPr>
          <w:p>
            <w:pPr>
              <w:jc w:val="center"/>
              <w:rPr>
                <w:rFonts w:hint="eastAsia" w:ascii="宋体" w:hAnsi="宋体" w:eastAsia="宋体" w:cs="宋体"/>
                <w:b/>
                <w:bCs/>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53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537"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537"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34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5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3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342"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本表无数据</w:t>
            </w:r>
          </w:p>
        </w:tc>
        <w:tc>
          <w:tcPr>
            <w:tcW w:w="5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3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342"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53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3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537"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tbl>
      <w:tblPr>
        <w:tblStyle w:val="1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9"/>
        <w:gridCol w:w="649"/>
        <w:gridCol w:w="657"/>
        <w:gridCol w:w="1414"/>
        <w:gridCol w:w="4358"/>
        <w:gridCol w:w="1741"/>
        <w:gridCol w:w="1742"/>
        <w:gridCol w:w="17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756" w:type="pct"/>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546"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681" w:type="pct"/>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5000" w:type="pct"/>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2983" w:type="pct"/>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部门：广元市文化广播电视和旅游局</w:t>
            </w:r>
          </w:p>
        </w:tc>
        <w:tc>
          <w:tcPr>
            <w:tcW w:w="672"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672" w:type="pct"/>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983" w:type="pct"/>
            <w:gridSpan w:val="5"/>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2016"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本年国有资本经营预算支出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756" w:type="pct"/>
            <w:gridSpan w:val="3"/>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546"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681"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7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67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72" w:type="pct"/>
            <w:vMerge w:val="restar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5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251"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52" w:type="pct"/>
            <w:tcBorders>
              <w:top w:val="single" w:color="C2C3C4" w:sz="4" w:space="0"/>
              <w:left w:val="single" w:color="C2C3C4" w:sz="4" w:space="0"/>
              <w:bottom w:val="single" w:color="C2C3C4" w:sz="4" w:space="0"/>
              <w:right w:val="single" w:color="C2C3C4"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546"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1681"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7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7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c>
          <w:tcPr>
            <w:tcW w:w="672" w:type="pct"/>
            <w:vMerge w:val="continue"/>
            <w:tcBorders>
              <w:top w:val="single" w:color="C2C3C4" w:sz="4" w:space="0"/>
              <w:left w:val="single" w:color="C2C3C4" w:sz="4" w:space="0"/>
              <w:bottom w:val="single" w:color="C2C3C4" w:sz="4" w:space="0"/>
              <w:right w:val="single" w:color="C2C3C4" w:sz="4" w:space="0"/>
            </w:tcBorders>
            <w:shd w:val="clear" w:color="EFF2F7" w:fill="EFF2F7"/>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本表无数据</w:t>
            </w: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jc w:val="lef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1"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25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546"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left"/>
              <w:rPr>
                <w:rFonts w:hint="eastAsia" w:ascii="宋体" w:hAnsi="宋体" w:eastAsia="宋体" w:cs="宋体"/>
                <w:i w:val="0"/>
                <w:iCs w:val="0"/>
                <w:color w:val="000000"/>
                <w:sz w:val="22"/>
                <w:szCs w:val="22"/>
                <w:u w:val="none"/>
              </w:rPr>
            </w:pPr>
          </w:p>
        </w:tc>
        <w:tc>
          <w:tcPr>
            <w:tcW w:w="1681" w:type="pct"/>
            <w:tcBorders>
              <w:top w:val="single" w:color="C2C3C4" w:sz="4" w:space="0"/>
              <w:left w:val="single" w:color="C2C3C4" w:sz="4" w:space="0"/>
              <w:bottom w:val="single" w:color="C2C3C4" w:sz="4" w:space="0"/>
              <w:right w:val="single" w:color="C2C3C4"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w:t>
            </w:r>
          </w:p>
        </w:tc>
        <w:tc>
          <w:tcPr>
            <w:tcW w:w="672" w:type="pct"/>
            <w:tcBorders>
              <w:top w:val="single" w:color="C2C3C4" w:sz="4" w:space="0"/>
              <w:left w:val="single" w:color="C2C3C4" w:sz="4" w:space="0"/>
              <w:bottom w:val="single" w:color="C2C3C4" w:sz="4" w:space="0"/>
              <w:right w:val="single" w:color="C2C3C4"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c>
          <w:tcPr>
            <w:tcW w:w="672" w:type="pct"/>
            <w:tcBorders>
              <w:top w:val="single" w:color="C2C3C4" w:sz="4" w:space="0"/>
              <w:left w:val="single" w:color="C2C3C4" w:sz="4" w:space="0"/>
              <w:bottom w:val="single" w:color="C2C3C4" w:sz="4" w:space="0"/>
              <w:right w:val="single" w:color="C2C3C4" w:sz="4" w:space="0"/>
            </w:tcBorders>
            <w:shd w:val="clear" w:color="FFFFFF" w:fill="FFFFFF"/>
            <w:noWrap/>
            <w:vAlign w:val="center"/>
          </w:tcPr>
          <w:p>
            <w:pPr>
              <w:jc w:val="right"/>
              <w:rPr>
                <w:rFonts w:hint="eastAsia" w:ascii="宋体" w:hAnsi="宋体" w:eastAsia="宋体" w:cs="宋体"/>
                <w:i w:val="0"/>
                <w:iCs w:val="0"/>
                <w:color w:val="000000"/>
                <w:sz w:val="22"/>
                <w:szCs w:val="22"/>
                <w:u w:val="none"/>
              </w:rPr>
            </w:pPr>
          </w:p>
        </w:tc>
      </w:tr>
    </w:tbl>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tbl>
      <w:tblPr>
        <w:tblStyle w:val="11"/>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98"/>
        <w:gridCol w:w="965"/>
        <w:gridCol w:w="818"/>
        <w:gridCol w:w="3241"/>
        <w:gridCol w:w="805"/>
        <w:gridCol w:w="1108"/>
        <w:gridCol w:w="2089"/>
        <w:gridCol w:w="397"/>
        <w:gridCol w:w="756"/>
        <w:gridCol w:w="707"/>
        <w:gridCol w:w="429"/>
        <w:gridCol w:w="7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2"/>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eastAsia"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2298" w:type="pct"/>
            <w:gridSpan w:val="4"/>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314" w:type="pct"/>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431" w:type="pct"/>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809" w:type="pct"/>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50" w:type="pct"/>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257" w:type="pct"/>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738" w:type="pct"/>
            <w:gridSpan w:val="3"/>
            <w:tcBorders>
              <w:top w:val="single" w:color="FFFFFF" w:sz="4" w:space="0"/>
              <w:left w:val="single" w:color="FFFFFF" w:sz="4" w:space="0"/>
              <w:bottom w:val="nil"/>
              <w:right w:val="single" w:color="FFFFFF"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3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12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325001-广元市文化广播电视和旅游局</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市文旅局乡村振兴工作经费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1.82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认真贯彻落实好省、市就乡村振兴工作的安排部署，公共文化服务、智慧广电、农文旅融合等方面取得较好的成绩，确保各项指标在行业内排名靠前。</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驻村个数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每周驻村天数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驻村人数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人数</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驻村队员年度考核合格率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乡村振兴实施时间</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预算执行控制</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巩固脱贫攻坚成果同乡村振兴有效衔接</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帮扶对象满意度指标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村民满意度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向上争取项目资金工作经费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20.00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完成到京到省对接工作任务及向中央、省级部门争取项目资金任务。争取更多项目资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金。</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主要领导对接国家部委次数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主要领导对接省厅局次数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向上争取项目资金任务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完成率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预算执行金额</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带动广元经济发展</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基层单位满意度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325001-广元市文化广播电视和旅游局</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文化旅游宣传推广工作经费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20.05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1.强化目的地市场宣传营销，多维度拓展文旅宣传推广，着力区域合作，实现协同发展；2.开展航线城市营销，协调航线时刻，培育优化已开通航线。</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培育优化已开通航线</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在客源地城市举办推介活动</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在目的地城市或客源地城市设置固定广告</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非遗项目参与率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文化旅游宣传推广工作经费</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200500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提升节会知名度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提升</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促进文化旅游综合收入</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持续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增长</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级 </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提升“剑门蜀道.女皇故里”知名度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提升</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来广游客满意度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文旅康养产业专班工作经费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20.00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保障文旅康养产业专班日常运转，开展项目招商、调度、项目拉练，企业调研和企业纾困解难以及重大活动举办、重点品牌创建。</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项目督办企业调研次数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项目招商洽谈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文旅康养产业专班调度会</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产业培训次数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项目拉练比武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325001-广元市文化广播电视和旅游局</w:t>
            </w: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文旅康养产业专班工作经费</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推进文旅经济高质量发展</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高效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推进</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持续推进大蜀道国际文化旅游目的地和康养度假胜地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建设</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持续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推进</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项目业主满意度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服务企业满意度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文旅资源规划及产业发展工作</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27.00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持续促进文旅产业高质量健康发展，推动重点文旅项目有力有序建设；2.开展天府旅游名县、全域旅游示范区、旅游景区、旅游度假区、生态旅游示范区、天府旅游名牌、旅游休闲街区等创建现场指导和组织专家开展创建资料评审；开展相关标准培训等。</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承办省市文旅投资大会次数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创建各类旅游品牌3个以上</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生态价值转化试点项目建设</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旅游品牌质量全面提升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计划投资额度完成时间</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预算执行金额</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270000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提升文旅业态及配套设施</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旅游产品带动经济增长和群众增收</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旅游接待人次同比增长率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325001-广元市文化广播电视和旅游局</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公共文化服务体系建设及艺术交流工作经费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35.00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公共文化服务网络持续优化、产品供给不断丰富、品牌效益有效凸显，公共文化服务体系进一步完善，人民群众对公共文化服务的满意度大幅提升。2.到上级争取更多政策和项目资金扶持；广播电视公共服务标准化、均等化水平不断提高，广电民生有效保障；广电行业更加规范有序；广电综合实力大力提升。3.组织全市文艺专干多形式的赴省内外、相关市州、县区之间开展音乐、舞蹈、戏曲、美术书法等培训交流、采风活动及文艺演出。</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申报省“四个一批”品牌创建和政府向社会力量购买服务项目类型</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类</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开展艺术作品创作业务交流活动次数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发生电视安全播出重大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事故数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公共文化服务体系建设及艺术交流工作经费</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350000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公共文化服务效能不断提升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持续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提升</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人民群众对公共文化服务的满意度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文化旅游行业安全生产及市场管理工作经费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26.00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按计划开展安全生产工作检查、抽查、督导，迎接上级相关部门督导检查，确保文旅行业安全工作平稳有序；2.通过规范文旅市场行业监管，提升服务质量，加大市场培育，成功创建省、市文旅品牌，助推我市建设为大蜀道国际文化旅游目的地。优化营商环境，促进文旅行业经济健康发展。</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督导安全生产市场主体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覆盖率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组织培育文旅企业参加品牌创建类别</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类</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开展行业技能相关培训活动次数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开展文旅市场行业整治和安全检查等活动次数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文化旅游行业安全生产及市场管理工作经费</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260000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成功创建省市文旅品牌</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较好</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文旅市场主体满意度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325001-广元市文化广播电视和旅游局</w:t>
            </w:r>
          </w:p>
        </w:tc>
        <w:tc>
          <w:tcPr>
            <w:tcW w:w="3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文物保护专项经费</w:t>
            </w:r>
          </w:p>
        </w:tc>
        <w:tc>
          <w:tcPr>
            <w:tcW w:w="3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60.00 </w:t>
            </w:r>
          </w:p>
        </w:tc>
        <w:tc>
          <w:tcPr>
            <w:tcW w:w="125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加强文物保护利用水平，让文物活起来,提升文物安全水平,传承中华优秀传统文化,促进文物事业与经济社会和谐发展；开展馆藏文物资源调查、传承保护，项目督导、参加省局相关培训等相关工作。</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组织文物保护单位向上申报项目个数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抽查县级文物保护单位和不可移动文物次数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开展日常检查及相关培训</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全覆盖检查省级文物保护单位次数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全覆盖检查市级文物保护单位次数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全覆盖检查全国重点文物保护单位次数</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文物安全重大事故发生率</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完成时效</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文物保护利用及博物馆管理工作经费</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600000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普及文博知识和传承弘扬中华优秀传统文化</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增强民族自尊和文化自信</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5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8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pPr>
        <w:rPr>
          <w:rFonts w:hint="eastAsia"/>
          <w:lang w:val="en-US" w:eastAsia="zh-CN"/>
        </w:rPr>
      </w:pPr>
    </w:p>
    <w:sectPr>
      <w:pgSz w:w="16838" w:h="11906" w:orient="landscape"/>
      <w:pgMar w:top="1587" w:right="2098" w:bottom="1474" w:left="1984" w:header="720" w:footer="1559"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AFF" w:usb1="C00078FB" w:usb2="0000002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3F00" w:csb1="01000000"/>
  </w:font>
  <w:font w:name="Liberation Sans">
    <w:panose1 w:val="020B0604020202020204"/>
    <w:charset w:val="00"/>
    <w:family w:val="swiss"/>
    <w:pitch w:val="default"/>
    <w:sig w:usb0="A00002AF" w:usb1="500078FB" w:usb2="00000000" w:usb3="00000000" w:csb0="6000009F" w:csb1="DFD70000"/>
  </w:font>
  <w:font w:name="Noto Sans CJK SC Regular">
    <w:panose1 w:val="020B0500000000000000"/>
    <w:charset w:val="86"/>
    <w:family w:val="auto"/>
    <w:pitch w:val="default"/>
    <w:sig w:usb0="30000003" w:usb1="2BDF3C10" w:usb2="00000016" w:usb3="00000000" w:csb0="602E0107" w:csb1="00000000"/>
  </w:font>
  <w:font w:name="Dialog . plain">
    <w:altName w:val="Mangal"/>
    <w:panose1 w:val="00000000000000000000"/>
    <w:charset w:val="00"/>
    <w:family w:val="auto"/>
    <w:pitch w:val="default"/>
    <w:sig w:usb0="00000000" w:usb1="00000000" w:usb2="00000000" w:usb3="00000000" w:csb0="00000000" w:csb1="00000000"/>
  </w:font>
  <w:font w:name="Mangal">
    <w:panose1 w:val="00000400000000000000"/>
    <w:charset w:val="00"/>
    <w:family w:val="auto"/>
    <w:pitch w:val="default"/>
    <w:sig w:usb0="00008000" w:usb1="00000000" w:usb2="00000000" w:usb3="00000000" w:csb0="00000000" w:csb1="00000000"/>
  </w:font>
  <w:font w:name="Dialog . bold">
    <w:altName w:val="Mangal"/>
    <w:panose1 w:val="00000000000000000000"/>
    <w:charset w:val="00"/>
    <w:family w:val="auto"/>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altName w:val="宋体"/>
    <w:panose1 w:val="02010609060101010101"/>
    <w:charset w:val="86"/>
    <w:family w:val="auto"/>
    <w:pitch w:val="default"/>
    <w:sig w:usb0="00000000" w:usb1="00000000" w:usb2="00000016" w:usb3="00000000" w:csb0="00040001" w:csb1="00000000"/>
  </w:font>
  <w:font w:name="Comic Sans MS">
    <w:panose1 w:val="030F0702030302020204"/>
    <w:charset w:val="00"/>
    <w:family w:val="auto"/>
    <w:pitch w:val="default"/>
    <w:sig w:usb0="00000287" w:usb1="00000000" w:usb2="00000000" w:usb3="00000000" w:csb0="2000009F"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BYAAABkcnMvUEsBAhQAFAAAAAgAh07iQM6p&#10;ebnPAAAABQEAAA8AAAAAAAAAAQAgAAAAOAAAAGRycy9kb3ducmV2LnhtbFBLAQIUABQAAAAIAIdO&#10;4kBteV5o3QEAAL4DAAAOAAAAAAAAAAEAIAAAADQBAABkcnMvZTJvRG9jLnhtbFBLBQYAAAAABgAG&#10;AFkBAACDBQAAAAA=&#10;">
              <v:fill on="f" focussize="0,0"/>
              <v:stroke on="f"/>
              <v:imagedata o:title=""/>
              <o:lock v:ext="edit" aspectratio="f"/>
              <v:textbox inset="0mm,0mm,0mm,0mm" style="mso-fit-shape-to-text:t;">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FCE1D6"/>
    <w:multiLevelType w:val="singleLevel"/>
    <w:tmpl w:val="5BFCE1D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3189"/>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5MTc1YWUzNDk5OThmNzcwNDRiNmRkMjhiZTRiMmMifQ=="/>
  </w:docVars>
  <w:rsids>
    <w:rsidRoot w:val="00000000"/>
    <w:rsid w:val="012352D1"/>
    <w:rsid w:val="052A6BDD"/>
    <w:rsid w:val="06A71C0B"/>
    <w:rsid w:val="07F969A7"/>
    <w:rsid w:val="0813227D"/>
    <w:rsid w:val="089A4646"/>
    <w:rsid w:val="08E15A74"/>
    <w:rsid w:val="09152A47"/>
    <w:rsid w:val="0AC4091E"/>
    <w:rsid w:val="0B073C5F"/>
    <w:rsid w:val="0F063633"/>
    <w:rsid w:val="0F950EA1"/>
    <w:rsid w:val="12A04F4F"/>
    <w:rsid w:val="12CA0DFE"/>
    <w:rsid w:val="155B2B80"/>
    <w:rsid w:val="15C14955"/>
    <w:rsid w:val="17A01532"/>
    <w:rsid w:val="17FB5AC3"/>
    <w:rsid w:val="1A001FF1"/>
    <w:rsid w:val="1A3B0976"/>
    <w:rsid w:val="1A9A67BB"/>
    <w:rsid w:val="1B043BA1"/>
    <w:rsid w:val="1B974A15"/>
    <w:rsid w:val="1C7A6D9B"/>
    <w:rsid w:val="1CBD66FD"/>
    <w:rsid w:val="1D6565DD"/>
    <w:rsid w:val="1D9F113A"/>
    <w:rsid w:val="1F7BF06F"/>
    <w:rsid w:val="1FEE4B73"/>
    <w:rsid w:val="23CE9849"/>
    <w:rsid w:val="24306E43"/>
    <w:rsid w:val="243472A5"/>
    <w:rsid w:val="27AB31D8"/>
    <w:rsid w:val="28F75A60"/>
    <w:rsid w:val="2D4A3F32"/>
    <w:rsid w:val="2F9319D5"/>
    <w:rsid w:val="2FA44190"/>
    <w:rsid w:val="303845C1"/>
    <w:rsid w:val="30A13E8F"/>
    <w:rsid w:val="32145110"/>
    <w:rsid w:val="32FB2B53"/>
    <w:rsid w:val="33576B0C"/>
    <w:rsid w:val="33C5637D"/>
    <w:rsid w:val="372799D5"/>
    <w:rsid w:val="383822AF"/>
    <w:rsid w:val="38701019"/>
    <w:rsid w:val="387F14FB"/>
    <w:rsid w:val="39931A5E"/>
    <w:rsid w:val="39F304DD"/>
    <w:rsid w:val="3C831143"/>
    <w:rsid w:val="3DE27706"/>
    <w:rsid w:val="3FF55C34"/>
    <w:rsid w:val="3FFEA2A5"/>
    <w:rsid w:val="42463AEB"/>
    <w:rsid w:val="43385D46"/>
    <w:rsid w:val="43BF6DCD"/>
    <w:rsid w:val="46CFEED0"/>
    <w:rsid w:val="471F1BDF"/>
    <w:rsid w:val="481E4A22"/>
    <w:rsid w:val="48770D0C"/>
    <w:rsid w:val="49431BB4"/>
    <w:rsid w:val="49AD34D2"/>
    <w:rsid w:val="4AE20F59"/>
    <w:rsid w:val="4AFC64BF"/>
    <w:rsid w:val="4B581FE2"/>
    <w:rsid w:val="4B6A3395"/>
    <w:rsid w:val="4DB31487"/>
    <w:rsid w:val="50874CB6"/>
    <w:rsid w:val="509C1BAA"/>
    <w:rsid w:val="54212AF2"/>
    <w:rsid w:val="54244390"/>
    <w:rsid w:val="54662A63"/>
    <w:rsid w:val="549344D5"/>
    <w:rsid w:val="552166C0"/>
    <w:rsid w:val="55EB6693"/>
    <w:rsid w:val="57433A5D"/>
    <w:rsid w:val="575C6B8F"/>
    <w:rsid w:val="5795379C"/>
    <w:rsid w:val="58064E12"/>
    <w:rsid w:val="5A76033E"/>
    <w:rsid w:val="5A8F0423"/>
    <w:rsid w:val="5A9658BC"/>
    <w:rsid w:val="5B6B0227"/>
    <w:rsid w:val="5B7025B1"/>
    <w:rsid w:val="5B730A9E"/>
    <w:rsid w:val="5B9821F0"/>
    <w:rsid w:val="5BE91735"/>
    <w:rsid w:val="5BFEE015"/>
    <w:rsid w:val="5D0F0C30"/>
    <w:rsid w:val="5D3B6A38"/>
    <w:rsid w:val="5DF35317"/>
    <w:rsid w:val="5DF85D8C"/>
    <w:rsid w:val="5DFD075F"/>
    <w:rsid w:val="5E580059"/>
    <w:rsid w:val="5FF679D4"/>
    <w:rsid w:val="60C211B9"/>
    <w:rsid w:val="60E752BE"/>
    <w:rsid w:val="614B1AD7"/>
    <w:rsid w:val="63656DA4"/>
    <w:rsid w:val="63D54312"/>
    <w:rsid w:val="63EDCF55"/>
    <w:rsid w:val="63FBFBCF"/>
    <w:rsid w:val="650738BE"/>
    <w:rsid w:val="65A44062"/>
    <w:rsid w:val="669360FD"/>
    <w:rsid w:val="674A015A"/>
    <w:rsid w:val="68FF6A83"/>
    <w:rsid w:val="6AEF6005"/>
    <w:rsid w:val="6B782244"/>
    <w:rsid w:val="6C750D28"/>
    <w:rsid w:val="6C792BC7"/>
    <w:rsid w:val="6C9B1160"/>
    <w:rsid w:val="6D400035"/>
    <w:rsid w:val="6D7F3E00"/>
    <w:rsid w:val="6DA73FA3"/>
    <w:rsid w:val="6E3DB48E"/>
    <w:rsid w:val="6EB5235D"/>
    <w:rsid w:val="6F3403B6"/>
    <w:rsid w:val="6FBBC9CF"/>
    <w:rsid w:val="712B6906"/>
    <w:rsid w:val="71C56D5B"/>
    <w:rsid w:val="71FC2424"/>
    <w:rsid w:val="72BDE561"/>
    <w:rsid w:val="72C54B39"/>
    <w:rsid w:val="742835D1"/>
    <w:rsid w:val="760C31AA"/>
    <w:rsid w:val="7773518E"/>
    <w:rsid w:val="78462278"/>
    <w:rsid w:val="7997EA6C"/>
    <w:rsid w:val="7A104A1A"/>
    <w:rsid w:val="7A3C3932"/>
    <w:rsid w:val="7AEAE675"/>
    <w:rsid w:val="7BAFCE5D"/>
    <w:rsid w:val="7C541407"/>
    <w:rsid w:val="7D46598C"/>
    <w:rsid w:val="7D627B54"/>
    <w:rsid w:val="7D9F8F0F"/>
    <w:rsid w:val="7DAE0FEB"/>
    <w:rsid w:val="7DEF30D5"/>
    <w:rsid w:val="7DFB240B"/>
    <w:rsid w:val="7DFE05E7"/>
    <w:rsid w:val="7E0076C1"/>
    <w:rsid w:val="7E0935ED"/>
    <w:rsid w:val="7E1620CC"/>
    <w:rsid w:val="7ED7A56A"/>
    <w:rsid w:val="7EF731E4"/>
    <w:rsid w:val="7FC248DA"/>
    <w:rsid w:val="7FCF2AF7"/>
    <w:rsid w:val="83FB4DB0"/>
    <w:rsid w:val="9FEF033D"/>
    <w:rsid w:val="A27FF1E5"/>
    <w:rsid w:val="A9CFD93D"/>
    <w:rsid w:val="ABFEA5DB"/>
    <w:rsid w:val="AF3FEDDD"/>
    <w:rsid w:val="AFDEB5A7"/>
    <w:rsid w:val="AFEA7FBF"/>
    <w:rsid w:val="B83F4767"/>
    <w:rsid w:val="BF930F07"/>
    <w:rsid w:val="BFCE8436"/>
    <w:rsid w:val="C3F7EB7A"/>
    <w:rsid w:val="CFBD8222"/>
    <w:rsid w:val="CFF5FEEC"/>
    <w:rsid w:val="D3DD9064"/>
    <w:rsid w:val="D6F76A0C"/>
    <w:rsid w:val="D7ECE8D2"/>
    <w:rsid w:val="DD2BC8C0"/>
    <w:rsid w:val="DFDD4FB5"/>
    <w:rsid w:val="E3FC5BBD"/>
    <w:rsid w:val="E7F748B5"/>
    <w:rsid w:val="EE5F3713"/>
    <w:rsid w:val="EFC9D62C"/>
    <w:rsid w:val="F61F91D3"/>
    <w:rsid w:val="F6BE9755"/>
    <w:rsid w:val="F6FFA89B"/>
    <w:rsid w:val="F7FFA4EB"/>
    <w:rsid w:val="F88D0DC7"/>
    <w:rsid w:val="FAE4EFE1"/>
    <w:rsid w:val="FB9B6F12"/>
    <w:rsid w:val="FBB66A4A"/>
    <w:rsid w:val="FBF7C4DC"/>
    <w:rsid w:val="FDEE6989"/>
    <w:rsid w:val="FE3FE3D1"/>
    <w:rsid w:val="FEFF0922"/>
    <w:rsid w:val="FF5E7DB8"/>
    <w:rsid w:val="FF77E367"/>
    <w:rsid w:val="FFD576EB"/>
    <w:rsid w:val="FFDB1578"/>
    <w:rsid w:val="FFFADE43"/>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2">
    <w:name w:val="Default Paragraph Font"/>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style>
  <w:style w:type="paragraph" w:styleId="3">
    <w:name w:val="caption"/>
    <w:basedOn w:val="1"/>
    <w:next w:val="1"/>
    <w:qFormat/>
    <w:uiPriority w:val="0"/>
    <w:pPr>
      <w:widowControl w:val="0"/>
      <w:suppressLineNumbers/>
      <w:suppressAutoHyphens/>
      <w:spacing w:before="120" w:after="120"/>
    </w:pPr>
    <w:rPr>
      <w:i/>
      <w:iCs/>
      <w:sz w:val="24"/>
      <w:szCs w:val="24"/>
    </w:rPr>
  </w:style>
  <w:style w:type="paragraph" w:styleId="4">
    <w:name w:val="Body Text"/>
    <w:basedOn w:val="1"/>
    <w:qFormat/>
    <w:uiPriority w:val="0"/>
    <w:pPr>
      <w:spacing w:before="0" w:after="140" w:line="276" w:lineRule="auto"/>
    </w:pPr>
  </w:style>
  <w:style w:type="paragraph" w:styleId="5">
    <w:name w:val="toc 3"/>
    <w:basedOn w:val="1"/>
    <w:next w:val="1"/>
    <w:qFormat/>
    <w:uiPriority w:val="0"/>
    <w:pPr>
      <w:ind w:left="840" w:leftChars="40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List"/>
    <w:basedOn w:val="4"/>
    <w:qFormat/>
    <w:uiPriority w:val="0"/>
  </w:style>
  <w:style w:type="paragraph" w:styleId="9">
    <w:name w:val="toc 2"/>
    <w:basedOn w:val="1"/>
    <w:next w:val="1"/>
    <w:qFormat/>
    <w:uiPriority w:val="0"/>
    <w:pPr>
      <w:ind w:left="420" w:leftChars="200"/>
    </w:p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13">
    <w:name w:val="默认段落字体1"/>
    <w:qFormat/>
    <w:uiPriority w:val="0"/>
  </w:style>
  <w:style w:type="paragraph" w:customStyle="1" w:styleId="14">
    <w:name w:val="Heading"/>
    <w:basedOn w:val="1"/>
    <w:next w:val="4"/>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5">
    <w:name w:val="Index"/>
    <w:basedOn w:val="1"/>
    <w:qFormat/>
    <w:uiPriority w:val="0"/>
    <w:pPr>
      <w:widowControl w:val="0"/>
      <w:suppressLineNumbers/>
      <w:suppressAutoHyphens/>
    </w:pPr>
  </w:style>
  <w:style w:type="character" w:customStyle="1" w:styleId="16">
    <w:name w:val="font61"/>
    <w:basedOn w:val="12"/>
    <w:qFormat/>
    <w:uiPriority w:val="0"/>
    <w:rPr>
      <w:rFonts w:hint="eastAsia" w:ascii="宋体" w:hAnsi="宋体" w:eastAsia="宋体" w:cs="宋体"/>
      <w:color w:val="000000"/>
      <w:sz w:val="22"/>
      <w:szCs w:val="22"/>
      <w:u w:val="none"/>
    </w:rPr>
  </w:style>
  <w:style w:type="character" w:customStyle="1" w:styleId="17">
    <w:name w:val="font51"/>
    <w:basedOn w:val="12"/>
    <w:qFormat/>
    <w:uiPriority w:val="0"/>
    <w:rPr>
      <w:rFonts w:hint="eastAsia" w:ascii="宋体" w:hAnsi="宋体" w:eastAsia="宋体" w:cs="宋体"/>
      <w:color w:val="000000"/>
      <w:sz w:val="22"/>
      <w:szCs w:val="22"/>
      <w:u w:val="none"/>
    </w:rPr>
  </w:style>
  <w:style w:type="character" w:customStyle="1" w:styleId="18">
    <w:name w:val="font21"/>
    <w:basedOn w:val="12"/>
    <w:qFormat/>
    <w:uiPriority w:val="0"/>
    <w:rPr>
      <w:rFonts w:hint="eastAsia" w:ascii="宋体" w:hAnsi="宋体" w:eastAsia="宋体" w:cs="宋体"/>
      <w:color w:val="000000"/>
      <w:sz w:val="22"/>
      <w:szCs w:val="22"/>
      <w:u w:val="none"/>
    </w:rPr>
  </w:style>
  <w:style w:type="character" w:customStyle="1" w:styleId="19">
    <w:name w:val="font41"/>
    <w:basedOn w:val="12"/>
    <w:qFormat/>
    <w:uiPriority w:val="0"/>
    <w:rPr>
      <w:rFonts w:hint="eastAsia" w:ascii="宋体" w:hAnsi="宋体" w:eastAsia="宋体" w:cs="宋体"/>
      <w:color w:val="000000"/>
      <w:sz w:val="22"/>
      <w:szCs w:val="22"/>
      <w:u w:val="none"/>
    </w:rPr>
  </w:style>
  <w:style w:type="character" w:customStyle="1" w:styleId="20">
    <w:name w:val="font111"/>
    <w:basedOn w:val="12"/>
    <w:qFormat/>
    <w:uiPriority w:val="0"/>
    <w:rPr>
      <w:rFonts w:ascii="Dialog . plain" w:hAnsi="Dialog . plain" w:eastAsia="Dialog . plain" w:cs="Dialog . plain"/>
      <w:color w:val="000000"/>
      <w:sz w:val="22"/>
      <w:szCs w:val="22"/>
      <w:u w:val="none"/>
    </w:rPr>
  </w:style>
  <w:style w:type="character" w:customStyle="1" w:styleId="21">
    <w:name w:val="font122"/>
    <w:basedOn w:val="12"/>
    <w:qFormat/>
    <w:uiPriority w:val="0"/>
    <w:rPr>
      <w:rFonts w:ascii="Dialog . bold" w:hAnsi="Dialog . bold" w:eastAsia="Dialog . bold" w:cs="Dialog . bold"/>
      <w:b/>
      <w:bCs/>
      <w:color w:val="000000"/>
      <w:sz w:val="22"/>
      <w:szCs w:val="22"/>
      <w:u w:val="none"/>
    </w:rPr>
  </w:style>
  <w:style w:type="character" w:customStyle="1" w:styleId="22">
    <w:name w:val="font71"/>
    <w:basedOn w:val="12"/>
    <w:qFormat/>
    <w:uiPriority w:val="0"/>
    <w:rPr>
      <w:rFonts w:ascii="Dialog . plain" w:hAnsi="Dialog . plain" w:eastAsia="Dialog . plain" w:cs="Dialog . plain"/>
      <w:color w:val="000000"/>
      <w:sz w:val="22"/>
      <w:szCs w:val="22"/>
      <w:u w:val="none"/>
    </w:rPr>
  </w:style>
  <w:style w:type="character" w:customStyle="1" w:styleId="23">
    <w:name w:val="font81"/>
    <w:basedOn w:val="12"/>
    <w:qFormat/>
    <w:uiPriority w:val="0"/>
    <w:rPr>
      <w:rFonts w:ascii="Dialog . bold" w:hAnsi="Dialog . bold" w:eastAsia="Dialog . bold" w:cs="Dialog . bold"/>
      <w:b/>
      <w:bCs/>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50</Pages>
  <Words>426</Words>
  <Characters>435</Characters>
  <TotalTime>227</TotalTime>
  <ScaleCrop>false</ScaleCrop>
  <LinksUpToDate>false</LinksUpToDate>
  <CharactersWithSpaces>445</CharactersWithSpaces>
  <Application>WPS Office_11.8.2.1125_F1E327BC-269C-435d-A152-05C5408002CA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2018-12-02T17:47:00Z</dcterms:created>
  <dc:creator>admin</dc:creator>
  <cp:lastModifiedBy> </cp:lastModifiedBy>
  <dcterms:modified xsi:type="dcterms:W3CDTF">2025-02-21T14:43:39Z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2052-11.8.2.1125</vt:lpwstr>
  </property>
  <property fmtid="{D5CDD505-2E9C-101B-9397-08002B2CF9AE}" pid="3" name="ICV">
    <vt:lpwstr>0F5E323C958731899B20B86717FFD94E</vt:lpwstr>
  </property>
  <property fmtid="{D5CDD505-2E9C-101B-9397-08002B2CF9AE}" pid="4" name="KSOTemplateDocerSaveRecord">
    <vt:lpwstr>eyJoZGlkIjoiZmQzMTU5NmIzMTdiYjAyM2ZjZDg3NzBhMmYyNDA5MDUiLCJ1c2VySWQiOiIxMjk3ODc3NDUxIn0=</vt:lpwstr>
  </property>
</Properties>
</file>