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pPr>
        <w:shd w:val="clea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pPr>
        <w:shd w:val="clea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pPr>
        <w:shd w:val="clea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pPr>
        <w:shd w:val="clear"/>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广元市图书馆</w:t>
      </w:r>
    </w:p>
    <w:p>
      <w:pPr>
        <w:shd w:val="clear"/>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2025年单位预算</w:t>
      </w:r>
    </w:p>
    <w:p>
      <w:pPr>
        <w:shd w:val="clea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pPr>
        <w:shd w:val="clea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pPr>
        <w:shd w:val="clea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pPr>
        <w:shd w:val="clea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pPr>
        <w:shd w:val="clea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pPr>
        <w:shd w:val="clea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br w:type="page"/>
      </w:r>
    </w:p>
    <w:p>
      <w:pP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目   录</w:t>
      </w:r>
    </w:p>
    <w:p>
      <w:pPr>
        <w:numPr>
          <w:ilvl w:val="0"/>
          <w:numId w:val="0"/>
        </w:numPr>
        <w:tabs>
          <w:tab w:val="right" w:leader="middleDot" w:pos="8400"/>
        </w:tabs>
        <w:ind w:left="420" w:leftChars="0"/>
        <w:jc w:val="both"/>
        <w:outlineLvl w:val="9"/>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第一部分 广元市图书馆概况</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一、基本职能及主要工作</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二、部门预算单位构成</w:t>
      </w:r>
    </w:p>
    <w:p>
      <w:pPr>
        <w:numPr>
          <w:ilvl w:val="0"/>
          <w:numId w:val="0"/>
        </w:numPr>
        <w:tabs>
          <w:tab w:val="right" w:leader="middleDot" w:pos="8400"/>
        </w:tabs>
        <w:ind w:left="420" w:left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第二部分 广元市图书馆2025年预算情况说明</w:t>
      </w:r>
    </w:p>
    <w:p>
      <w:pPr>
        <w:numPr>
          <w:ilvl w:val="0"/>
          <w:numId w:val="0"/>
        </w:numPr>
        <w:tabs>
          <w:tab w:val="right" w:leader="middleDot" w:pos="8400"/>
        </w:tabs>
        <w:ind w:left="420" w:left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第三部分 名词解释</w:t>
      </w:r>
    </w:p>
    <w:p>
      <w:pPr>
        <w:numPr>
          <w:ilvl w:val="0"/>
          <w:numId w:val="0"/>
        </w:numPr>
        <w:tabs>
          <w:tab w:val="right" w:leader="middleDot" w:pos="8400"/>
        </w:tabs>
        <w:ind w:left="420" w:left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第四部分 广元市图书馆2025年预算表</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一、部门收支总表</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二、部门收入总表</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 xml:space="preserve">三、部门支出总表 </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四、财政拨款收支预算总表</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五、财政拨款支出预算表（部门经济分类科目）</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六、一般公共预算支出预算表</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七、一般公共预算基本支出预算表</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八、一般公共预算项目支出预算表</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九、一般公共预算“三公”经费支出预算表</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十、政府性基金预算支出预算表</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十一、政府性基金预算“三公”经费支出预算表</w:t>
      </w:r>
    </w:p>
    <w:p>
      <w:pPr>
        <w:numPr>
          <w:ilvl w:val="0"/>
          <w:numId w:val="0"/>
        </w:numPr>
        <w:tabs>
          <w:tab w:val="right" w:leader="middleDot" w:pos="8400"/>
        </w:tabs>
        <w:ind w:left="1060" w:leftChars="0" w:firstLine="0" w:firstLineChars="0"/>
        <w:jc w:val="both"/>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十二、国有资本经营预算支出预算表</w:t>
      </w:r>
    </w:p>
    <w:p>
      <w:pPr>
        <w:numPr>
          <w:ilvl w:val="0"/>
          <w:numId w:val="0"/>
        </w:numPr>
        <w:tabs>
          <w:tab w:val="right" w:leader="middleDot" w:pos="8400"/>
        </w:tabs>
        <w:ind w:left="1060" w:leftChars="0" w:firstLine="0" w:firstLineChars="0"/>
        <w:jc w:val="both"/>
        <w:rPr>
          <w:rFonts w:hint="default" w:ascii="黑体" w:hAnsi="黑体" w:eastAsia="黑体" w:cs="黑体"/>
          <w:b/>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pPr>
      <w:r>
        <w:rPr>
          <w:rFonts w:hint="default" w:ascii="黑体" w:hAnsi="黑体" w:eastAsia="黑体" w:cs="黑体"/>
          <w:b w:val="0"/>
          <w:bCs w:val="0"/>
          <w:i w:val="0"/>
          <w:caps w:val="0"/>
          <w:color w:val="000000" w:themeColor="text1"/>
          <w:spacing w:val="0"/>
          <w:kern w:val="2"/>
          <w:sz w:val="32"/>
          <w:szCs w:val="32"/>
          <w:highlight w:val="none"/>
          <w:shd w:val="clear" w:color="auto" w:fill="FFFFFF"/>
          <w:lang w:val="en-US" w:eastAsia="zh-CN" w:bidi="ar-SA"/>
          <w14:textFill>
            <w14:solidFill>
              <w14:schemeClr w14:val="tx1"/>
            </w14:solidFill>
          </w14:textFill>
        </w:rPr>
        <w:t>十三、部门预算项目支出绩效目标表</w:t>
      </w:r>
    </w:p>
    <w:p>
      <w:pPr>
        <w:shd w:val="clea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br w:type="page"/>
      </w:r>
    </w:p>
    <w:p>
      <w:pPr>
        <w:shd w:val="clear"/>
        <w:rPr>
          <w:rFonts w:hint="eastAsia" w:ascii="黑体" w:hAnsi="黑体" w:eastAsia="黑体" w:cs="黑体"/>
          <w:sz w:val="32"/>
          <w:szCs w:val="32"/>
          <w:lang w:val="en-US" w:eastAsia="zh-CN"/>
        </w:rPr>
      </w:pPr>
    </w:p>
    <w:p>
      <w:pPr>
        <w:shd w:val="clear"/>
        <w:rPr>
          <w:rFonts w:hint="eastAsia" w:ascii="黑体" w:hAnsi="黑体" w:eastAsia="黑体" w:cs="黑体"/>
          <w:sz w:val="32"/>
          <w:szCs w:val="32"/>
          <w:lang w:val="en-US" w:eastAsia="zh-CN"/>
        </w:rPr>
      </w:pPr>
    </w:p>
    <w:p>
      <w:pPr>
        <w:shd w:val="clear"/>
        <w:rPr>
          <w:rFonts w:hint="eastAsia" w:ascii="黑体" w:hAnsi="黑体" w:eastAsia="黑体" w:cs="黑体"/>
          <w:sz w:val="32"/>
          <w:szCs w:val="32"/>
          <w:lang w:val="en-US" w:eastAsia="zh-CN"/>
        </w:rPr>
      </w:pPr>
    </w:p>
    <w:p>
      <w:pPr>
        <w:shd w:val="clear"/>
        <w:rPr>
          <w:rFonts w:hint="eastAsia" w:ascii="黑体" w:hAnsi="黑体" w:eastAsia="黑体" w:cs="黑体"/>
          <w:sz w:val="32"/>
          <w:szCs w:val="32"/>
          <w:lang w:val="en-US" w:eastAsia="zh-CN"/>
        </w:rPr>
      </w:pPr>
    </w:p>
    <w:p>
      <w:pPr>
        <w:shd w:val="clear"/>
        <w:rPr>
          <w:rFonts w:hint="eastAsia" w:ascii="黑体" w:hAnsi="黑体" w:eastAsia="黑体" w:cs="黑体"/>
          <w:sz w:val="32"/>
          <w:szCs w:val="32"/>
          <w:lang w:val="en-US" w:eastAsia="zh-CN"/>
        </w:rPr>
      </w:pPr>
    </w:p>
    <w:p>
      <w:pPr>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580" w:lineRule="atLeast"/>
        <w:ind w:left="0" w:leftChars="0" w:right="0" w:firstLine="0" w:firstLineChars="0"/>
        <w:jc w:val="center"/>
        <w:textAlignment w:val="center"/>
        <w:outlineLvl w:val="0"/>
        <w:rPr>
          <w:rFonts w:hint="eastAsia" w:ascii="方正小标宋简体" w:hAnsi="方正小标宋简体" w:eastAsia="方正小标宋简体" w:cs="方正小标宋简体"/>
          <w:sz w:val="44"/>
          <w:szCs w:val="44"/>
          <w:lang w:val="en-US" w:eastAsia="zh-CN"/>
        </w:rPr>
      </w:pPr>
      <w:bookmarkStart w:id="0" w:name="_Toc3436"/>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广元市图书馆</w:t>
      </w:r>
      <w:r>
        <w:rPr>
          <w:rFonts w:hint="eastAsia" w:ascii="方正小标宋简体" w:hAnsi="方正小标宋简体" w:eastAsia="方正小标宋简体" w:cs="方正小标宋简体"/>
          <w:sz w:val="44"/>
          <w:szCs w:val="44"/>
          <w:lang w:val="en-US" w:eastAsia="zh-CN"/>
        </w:rPr>
        <w:t>概况</w:t>
      </w:r>
      <w:bookmarkEnd w:id="0"/>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1" w:name="_Toc17998"/>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rPr>
      </w:pPr>
      <w:r>
        <w:rPr>
          <w:rFonts w:hint="eastAsia" w:ascii="黑体" w:hAnsi="黑体" w:eastAsia="黑体" w:cs="黑体"/>
          <w:sz w:val="32"/>
          <w:szCs w:val="32"/>
          <w:lang w:val="en-US" w:eastAsia="zh-CN"/>
        </w:rPr>
        <w:t>一、基本职能及主要工作</w:t>
      </w:r>
      <w:bookmarkEnd w:id="1"/>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w:t>
      </w:r>
      <w:r>
        <w:rPr>
          <w:rFonts w:hint="eastAsia" w:ascii="楷体_GB2312" w:hAnsi="楷体_GB2312" w:eastAsia="楷体_GB2312" w:cs="楷体_GB2312"/>
          <w:sz w:val="32"/>
          <w:szCs w:val="32"/>
          <w:lang w:val="en-US" w:eastAsia="zh-CN"/>
        </w:rPr>
        <w:t>广元市图书馆</w:t>
      </w:r>
      <w:r>
        <w:rPr>
          <w:rFonts w:hint="eastAsia" w:ascii="楷体_GB2312" w:hAnsi="楷体_GB2312" w:eastAsia="楷体_GB2312" w:cs="楷体_GB2312"/>
          <w:sz w:val="32"/>
          <w:szCs w:val="32"/>
        </w:rPr>
        <w:t>职能简介</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馆主要是免费对外开放馆内设施，收集、整理、保存、开发、应用各种载体文献资源，承担保存人类文化遗产，开发文献资源，传递社会信息；负责地方文献的收集、整理、储存和研究工作；提供文献借阅、阅读辅导、信息咨询等公益服务；组织开展各类阅读推广、读书讲座、图书展览等活动，开展图书管理与服务的理论研究，指导县区公共图书馆、图书服务网点（分馆、社区阅览室、城市书房等）建设；完成上级交办的其他工作。</w:t>
      </w:r>
    </w:p>
    <w:p>
      <w:pPr>
        <w:keepNext w:val="0"/>
        <w:keepLines w:val="0"/>
        <w:pageBreakBefore w:val="0"/>
        <w:widowControl w:val="0"/>
        <w:numPr>
          <w:ilvl w:val="0"/>
          <w:numId w:val="2"/>
        </w:numPr>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rPr>
      </w:pPr>
      <w:r>
        <w:rPr>
          <w:rFonts w:hint="eastAsia" w:ascii="楷体_GB2312" w:hAnsi="楷体_GB2312" w:eastAsia="楷体_GB2312" w:cs="楷体_GB2312"/>
          <w:sz w:val="32"/>
          <w:szCs w:val="32"/>
          <w:lang w:val="en-US" w:eastAsia="zh-CN"/>
        </w:rPr>
        <w:t>广元市图书馆2025</w:t>
      </w:r>
      <w:r>
        <w:rPr>
          <w:rFonts w:hint="eastAsia" w:ascii="楷体_GB2312" w:hAnsi="楷体_GB2312" w:eastAsia="楷体_GB2312" w:cs="楷体_GB2312"/>
          <w:sz w:val="32"/>
          <w:szCs w:val="32"/>
        </w:rPr>
        <w:t>年重点工作</w:t>
      </w:r>
    </w:p>
    <w:p>
      <w:pPr>
        <w:keepNext w:val="0"/>
        <w:keepLines w:val="0"/>
        <w:pageBreakBefore w:val="0"/>
        <w:widowControl w:val="0"/>
        <w:numPr>
          <w:ilvl w:val="0"/>
          <w:numId w:val="3"/>
        </w:numPr>
        <w:shd w:val="clear"/>
        <w:kinsoku/>
        <w:wordWrap/>
        <w:overflowPunct/>
        <w:topLinePunct w:val="0"/>
        <w:autoSpaceDE/>
        <w:autoSpaceDN/>
        <w:bidi w:val="0"/>
        <w:adjustRightInd/>
        <w:snapToGrid/>
        <w:spacing w:line="576" w:lineRule="exact"/>
        <w:ind w:left="1260" w:leftChars="0" w:hanging="425"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努力丰富文献资源，解决新增文献不足的问题。</w:t>
      </w:r>
    </w:p>
    <w:p>
      <w:pPr>
        <w:keepNext w:val="0"/>
        <w:keepLines w:val="0"/>
        <w:pageBreakBefore w:val="0"/>
        <w:widowControl w:val="0"/>
        <w:numPr>
          <w:ilvl w:val="0"/>
          <w:numId w:val="3"/>
        </w:numPr>
        <w:shd w:val="clear"/>
        <w:kinsoku/>
        <w:wordWrap/>
        <w:overflowPunct/>
        <w:topLinePunct w:val="0"/>
        <w:autoSpaceDE/>
        <w:autoSpaceDN/>
        <w:bidi w:val="0"/>
        <w:adjustRightInd/>
        <w:snapToGrid/>
        <w:spacing w:line="576" w:lineRule="exact"/>
        <w:ind w:left="1260" w:leftChars="0" w:hanging="425"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做好古籍保护站建设和推动蜀道文献资源二三次开发工作。</w:t>
      </w:r>
    </w:p>
    <w:p>
      <w:pPr>
        <w:keepNext w:val="0"/>
        <w:keepLines w:val="0"/>
        <w:pageBreakBefore w:val="0"/>
        <w:widowControl w:val="0"/>
        <w:numPr>
          <w:ilvl w:val="0"/>
          <w:numId w:val="3"/>
        </w:numPr>
        <w:shd w:val="clear"/>
        <w:kinsoku/>
        <w:wordWrap/>
        <w:overflowPunct/>
        <w:topLinePunct w:val="0"/>
        <w:autoSpaceDE/>
        <w:autoSpaceDN/>
        <w:bidi w:val="0"/>
        <w:adjustRightInd/>
        <w:snapToGrid/>
        <w:spacing w:line="576" w:lineRule="exact"/>
        <w:ind w:left="1260" w:leftChars="0" w:hanging="425"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争取建设智慧图书馆，发挥川陕甘现代化中心城市应有的辐射示范能力。</w:t>
      </w:r>
    </w:p>
    <w:p>
      <w:pPr>
        <w:keepNext w:val="0"/>
        <w:keepLines w:val="0"/>
        <w:pageBreakBefore w:val="0"/>
        <w:widowControl w:val="0"/>
        <w:numPr>
          <w:ilvl w:val="0"/>
          <w:numId w:val="3"/>
        </w:numPr>
        <w:shd w:val="clear"/>
        <w:kinsoku/>
        <w:wordWrap/>
        <w:overflowPunct/>
        <w:topLinePunct w:val="0"/>
        <w:autoSpaceDE/>
        <w:autoSpaceDN/>
        <w:bidi w:val="0"/>
        <w:adjustRightInd/>
        <w:snapToGrid/>
        <w:spacing w:line="576" w:lineRule="exact"/>
        <w:ind w:left="1260" w:leftChars="0" w:hanging="425"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加强已有品牌活动建设，不断丰富活动内容。另一方面要创新活动形式，打造新的品牌活动吸引更多读者参与到书香广元建设中来。</w:t>
      </w:r>
    </w:p>
    <w:p>
      <w:pPr>
        <w:keepNext w:val="0"/>
        <w:keepLines w:val="0"/>
        <w:pageBreakBefore w:val="0"/>
        <w:widowControl w:val="0"/>
        <w:numPr>
          <w:ilvl w:val="0"/>
          <w:numId w:val="3"/>
        </w:numPr>
        <w:shd w:val="clear"/>
        <w:kinsoku/>
        <w:wordWrap/>
        <w:overflowPunct/>
        <w:topLinePunct w:val="0"/>
        <w:autoSpaceDE/>
        <w:autoSpaceDN/>
        <w:bidi w:val="0"/>
        <w:adjustRightInd/>
        <w:snapToGrid/>
        <w:spacing w:line="576" w:lineRule="exact"/>
        <w:ind w:left="1260" w:leftChars="0" w:hanging="425" w:firstLine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努力开展图书馆+旅游服务，丰富景区文化内涵。</w:t>
      </w:r>
    </w:p>
    <w:p>
      <w:pPr>
        <w:keepNext w:val="0"/>
        <w:keepLines w:val="0"/>
        <w:pageBreakBefore w:val="0"/>
        <w:widowControl w:val="0"/>
        <w:numPr>
          <w:ilvl w:val="0"/>
          <w:numId w:val="3"/>
        </w:numPr>
        <w:shd w:val="clear"/>
        <w:kinsoku/>
        <w:wordWrap/>
        <w:overflowPunct/>
        <w:topLinePunct w:val="0"/>
        <w:autoSpaceDE/>
        <w:autoSpaceDN/>
        <w:bidi w:val="0"/>
        <w:adjustRightInd/>
        <w:snapToGrid/>
        <w:spacing w:line="576" w:lineRule="exact"/>
        <w:ind w:left="1260" w:leftChars="0" w:hanging="425"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探索“馆企合作”、文创开发、文献研究利用等。更加充分地利用好图书馆阵地和馆藏资源优势。</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1"/>
        <w:rPr>
          <w:rFonts w:hint="eastAsia" w:ascii="黑体" w:hAnsi="黑体" w:eastAsia="黑体" w:cs="黑体"/>
          <w:sz w:val="32"/>
          <w:szCs w:val="32"/>
          <w:lang w:val="en-US" w:eastAsia="zh-CN"/>
        </w:rPr>
      </w:pPr>
      <w:bookmarkStart w:id="2" w:name="_Toc27787"/>
      <w:r>
        <w:rPr>
          <w:rFonts w:hint="eastAsia" w:ascii="黑体" w:hAnsi="黑体" w:eastAsia="黑体" w:cs="黑体"/>
          <w:sz w:val="32"/>
          <w:szCs w:val="32"/>
          <w:lang w:val="en-US" w:eastAsia="zh-CN"/>
        </w:rPr>
        <w:t>二、部门预算单位构成</w:t>
      </w:r>
      <w:bookmarkEnd w:id="2"/>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我单位为广元市文化广播电视和旅游局的下属二级预算单位，本单位无下属机构，设有办公室、采编辅导部、参考咨询部、自动化部、读者服务部。</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240" w:lineRule="auto"/>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240" w:lineRule="auto"/>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240" w:lineRule="auto"/>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240" w:lineRule="auto"/>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240" w:lineRule="auto"/>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240" w:lineRule="auto"/>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240" w:lineRule="auto"/>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240" w:lineRule="auto"/>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240" w:lineRule="auto"/>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240" w:lineRule="auto"/>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80" w:lineRule="atLeast"/>
        <w:ind w:leftChars="0" w:right="0" w:rightChars="0"/>
        <w:jc w:val="both"/>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bookmarkStart w:id="3" w:name="_Toc16602"/>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80" w:lineRule="atLeast"/>
        <w:ind w:leftChars="0" w:right="0" w:rightChars="0"/>
        <w:jc w:val="both"/>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80" w:lineRule="atLeast"/>
        <w:ind w:leftChars="0" w:right="0" w:rightChars="0"/>
        <w:jc w:val="both"/>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80" w:lineRule="atLeast"/>
        <w:ind w:left="0" w:leftChars="0" w:right="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广元市图书馆2025年预算情况说明</w:t>
      </w:r>
      <w:bookmarkEnd w:id="3"/>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lang w:val="en-US" w:eastAsia="zh-CN"/>
        </w:rPr>
      </w:pP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lang w:val="en-US" w:eastAsia="zh-CN"/>
        </w:rPr>
        <w:t>一、收支预算情况说明</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按照综合预算的原则，广元市图书馆所有收入和支出均纳入部门预算管理。收入包括：一般公共预算拨款收入；支出包括：文化旅游体育与传媒支出、社会保障和就业支出、卫生健康支出、住房保障支出。广元市图书馆2025年收支预算总数567.97万元,比2024年收支预算总数减少21.83万元，主要原因是工资福利支出减少。</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（一）收入预算情况</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广元市图书馆2025年收入预算567.97万元，其中：一般公共预算拨款收入567.97万元，占100%。</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（二）支出预算情况</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广元市图书馆2025年支出预算567.97万元，其中：基本支出534.95万元，占94.19%；项目支出33.02万元，占5.81%</w:t>
      </w:r>
      <w:r>
        <w:rPr>
          <w:rFonts w:hint="eastAsia" w:ascii="仿宋_GB2312" w:hAnsi="仿宋_GB2312" w:eastAsia="仿宋_GB2312" w:cs="仿宋_GB2312"/>
          <w:b w:val="0"/>
          <w:bCs w:val="0"/>
          <w:sz w:val="32"/>
          <w:szCs w:val="32"/>
          <w:lang w:val="en-US" w:eastAsia="zh-CN"/>
        </w:rPr>
        <w:t>。</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lang w:val="en-US" w:eastAsia="zh-CN"/>
        </w:rPr>
        <w:t>二、财政拨款收支预算情况说明</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广元市图书馆2025年财政拨款收支预算总数567.97万元,比2024年财政拨款收支预算总数增减少21.83万元，主要原因是工资福利支出减少。</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收入包括：本年一般公共预算拨款收入567.97万元；支出包括：文化旅游体育与传媒支出466.7万元、社会保障和就业支出47.15万元、卫生健康支出14.74万元、住房保障支出39.38万元。</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三、一般公共预算当年拨款情况说明</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（一）一般公共预算当年拨款规模变化情况</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广元市图书馆2025年一般公共预算当年拨款567.97万元，比2024年预算数减少21.83万元，主要原因是工资福利支出减少。</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（二）一般公共预算当年拨款结构情况</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文化旅游体育与传媒支出466.7万元，占82.17%；社会保障和就业支出47.15万元，占8.3%；卫生健康支出14.74万元，占2.6%；住房保障支出39.38万元，占6.93%。</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（三）一般公共预算当年拨款具体使用情况</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val="en-US" w:eastAsia="zh-CN"/>
        </w:rPr>
        <w:t>文化旅游体育与传媒（类）文化和旅游（款）图书馆（项）2025年预算数为466.7万元，主要用于：人员经费、日常公用经费、党建经费、工会经费及项目经费等。</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2.社会保障和就业（类）行政事业单位养老支出（款）机关事业单位基本养老保险缴费支出（项）2025年预算数为45.4万元，主要用于：实施养老保险制度由单位缴纳的基本养老保险支出。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3.社会保障和就业（类）其他社会保障和就业支出（款）其他社会保障和就业支出（项）2025年预算数为1.75万元，主要用于：按规定由单位缴纳的失业和工伤保险。</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4.卫生健康（类）行政事业单位医疗（款）事业单位医疗（项）2025年预算数为14.74万元，主要用于：事业单位按规定由单位缴纳的基本医疗保险支出。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5.住房保障（类）住房改革支出（款）住房公积金（项）2025年预算数为39.38万元，主要用于：单位按规定为职工缴纳的住房公积金支出。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lang w:val="en-US" w:eastAsia="zh-CN"/>
        </w:rPr>
        <w:t>四、一般公共预算基本支出情况说明</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广元市图书馆2025年一般公共预算基本支出534.95万元，其中：</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人员经费485.78万元，主要包括：基本工资、津贴补贴、奖金、绩效工资、机关事业单位基本养老保险缴费、职工基本医疗保险缴费、其他社会保障缴费、住房公积金、生活补助等支出。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用经费49.17万元，主要包括：办公费、印刷费、手续费、水费、电费、邮电费、物业管理费、差旅费、维修（护）费、租赁费、会议费、培训费、公务接待费、劳务费、委托业务费、工会经费、福利费、其他交通费用、其他商品和服务支出等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lang w:val="en-US" w:eastAsia="zh-CN"/>
        </w:rPr>
        <w:t>五、“三公”经费财政拨款预算安排情况说明</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广元市图书馆2025年“三公”经费财政拨款预算数0.12万元，其中：公务接待费0.12万元，公务用车购置及运行维护费0万元，因公出国（境）经费0万元。</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（一）公务接待费</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公务接待费与2024年预算相比</w:t>
      </w:r>
      <w:r>
        <w:rPr>
          <w:rFonts w:hint="eastAsia" w:ascii="仿宋_GB2312" w:hAnsi="仿宋_GB2312" w:eastAsia="仿宋_GB2312" w:cs="仿宋_GB2312"/>
          <w:sz w:val="32"/>
          <w:szCs w:val="32"/>
          <w:highlight w:val="none"/>
          <w:lang w:val="en-US" w:eastAsia="zh-CN"/>
        </w:rPr>
        <w:t>持平</w:t>
      </w:r>
      <w:r>
        <w:rPr>
          <w:rFonts w:hint="eastAsia" w:ascii="仿宋_GB2312" w:hAnsi="仿宋_GB2312" w:eastAsia="仿宋_GB2312" w:cs="仿宋_GB2312"/>
          <w:sz w:val="32"/>
          <w:szCs w:val="32"/>
          <w:lang w:val="en-US" w:eastAsia="zh-CN"/>
        </w:rPr>
        <w:t>。</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2025年公务接待费计划用于执行接待考察调研、检查指导等公务活动开支的交通费、住宿费、用餐费等。</w:t>
      </w:r>
    </w:p>
    <w:p>
      <w:pPr>
        <w:keepNext w:val="0"/>
        <w:keepLines w:val="0"/>
        <w:pageBreakBefore w:val="0"/>
        <w:widowControl w:val="0"/>
        <w:numPr>
          <w:ilvl w:val="0"/>
          <w:numId w:val="4"/>
        </w:numPr>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公务用车购置及运行维护费</w:t>
      </w:r>
    </w:p>
    <w:p>
      <w:pPr>
        <w:keepNext w:val="0"/>
        <w:keepLines w:val="0"/>
        <w:pageBreakBefore w:val="0"/>
        <w:widowControl w:val="0"/>
        <w:numPr>
          <w:ilvl w:val="0"/>
          <w:numId w:val="0"/>
        </w:numPr>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公务用车购置及运行维护费与2024年预算相比</w:t>
      </w:r>
      <w:r>
        <w:rPr>
          <w:rFonts w:hint="eastAsia" w:ascii="仿宋_GB2312" w:hAnsi="仿宋_GB2312" w:eastAsia="仿宋_GB2312" w:cs="仿宋_GB2312"/>
          <w:sz w:val="32"/>
          <w:szCs w:val="32"/>
          <w:highlight w:val="none"/>
          <w:lang w:val="en-US" w:eastAsia="zh-CN"/>
        </w:rPr>
        <w:t>持平</w:t>
      </w:r>
      <w:r>
        <w:rPr>
          <w:rFonts w:hint="eastAsia" w:ascii="仿宋_GB2312" w:hAnsi="仿宋_GB2312" w:eastAsia="仿宋_GB2312" w:cs="仿宋_GB2312"/>
          <w:sz w:val="32"/>
          <w:szCs w:val="32"/>
          <w:lang w:val="en-US" w:eastAsia="zh-CN"/>
        </w:rPr>
        <w:t>。</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单位现有公务用车0辆。</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2025年安排公务用车购置费0万元。</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2025年安排公务用车运行维护费0万元。</w:t>
      </w:r>
    </w:p>
    <w:p>
      <w:pPr>
        <w:keepNext w:val="0"/>
        <w:keepLines w:val="0"/>
        <w:pageBreakBefore w:val="0"/>
        <w:widowControl w:val="0"/>
        <w:numPr>
          <w:ilvl w:val="0"/>
          <w:numId w:val="4"/>
        </w:numPr>
        <w:shd w:val="clear"/>
        <w:kinsoku/>
        <w:wordWrap/>
        <w:overflowPunct/>
        <w:topLinePunct w:val="0"/>
        <w:autoSpaceDE/>
        <w:autoSpaceDN/>
        <w:bidi w:val="0"/>
        <w:adjustRightInd/>
        <w:snapToGrid/>
        <w:spacing w:line="576" w:lineRule="exact"/>
        <w:ind w:firstLine="640" w:firstLineChars="200"/>
        <w:textAlignment w:val="auto"/>
        <w:outlineLvl w:val="9"/>
        <w:rPr>
          <w:rFonts w:hint="default"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因公出国（境）经费</w:t>
      </w:r>
    </w:p>
    <w:p>
      <w:pPr>
        <w:keepNext w:val="0"/>
        <w:keepLines w:val="0"/>
        <w:pageBreakBefore w:val="0"/>
        <w:widowControl w:val="0"/>
        <w:kinsoku/>
        <w:wordWrap/>
        <w:overflowPunct/>
        <w:topLinePunct w:val="0"/>
        <w:autoSpaceDE/>
        <w:autoSpaceDN/>
        <w:bidi w:val="0"/>
        <w:adjustRightInd/>
        <w:snapToGrid/>
        <w:spacing w:before="0" w:after="0" w:line="576" w:lineRule="exact"/>
        <w:ind w:firstLine="640" w:firstLineChars="200"/>
        <w:jc w:val="both"/>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color w:val="auto"/>
          <w:sz w:val="32"/>
          <w:szCs w:val="32"/>
          <w:lang w:val="en-US" w:eastAsia="zh-CN"/>
        </w:rPr>
        <w:t>因公出国（境）经费与2024年预算相比持平</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预算未编列因公出国（境）经费，未安排出国（境）任务和计划。</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六、政府性基金预算支出情况说明</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广元市图书馆2025年无政府性基金预算拨款安排的支出。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七、国有资本经营预算支出情况说明</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广元市图书馆2025年无国有资本经营预算拨款安排的支出。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lang w:val="en-US" w:eastAsia="zh-CN"/>
        </w:rPr>
        <w:t>八、其他重要事项的情况说明</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（一）机关运行经费</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广元市图书馆为事业单位，按规定未使用机关运行的相关科目。</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（二）政府采购情况</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广元市图书馆2025年无政府采购预算安排。</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（三）国有资产占有使用情况</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截至2024年底，广元市图书馆共有车辆0辆。单位无价值200万元以上的大型设备。</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2025年单位预算未安排购置车辆及单位价值200万元以上大型设备。</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outlineLvl w:val="9"/>
        <w:rPr>
          <w:rFonts w:hint="eastAsia" w:ascii="楷体_GB2312" w:hAnsi="楷体_GB2312" w:eastAsia="楷体_GB2312" w:cs="楷体_GB2312"/>
          <w:sz w:val="32"/>
          <w:szCs w:val="32"/>
        </w:rPr>
      </w:pPr>
      <w:r>
        <w:rPr>
          <w:rFonts w:hint="eastAsia" w:ascii="楷体_GB2312" w:hAnsi="楷体_GB2312" w:eastAsia="楷体_GB2312" w:cs="楷体_GB2312"/>
          <w:sz w:val="32"/>
          <w:szCs w:val="32"/>
          <w:lang w:val="en-US" w:eastAsia="zh-CN"/>
        </w:rPr>
        <w:t>（四）绩效目标设置情况</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yellow"/>
          <w:lang w:val="en-US" w:eastAsia="zh-CN"/>
        </w:rPr>
      </w:pPr>
      <w:r>
        <w:rPr>
          <w:rFonts w:hint="eastAsia" w:ascii="仿宋_GB2312" w:hAnsi="仿宋_GB2312" w:eastAsia="仿宋_GB2312" w:cs="仿宋_GB2312"/>
          <w:sz w:val="32"/>
          <w:szCs w:val="32"/>
          <w:lang w:val="en-US" w:eastAsia="zh-CN"/>
        </w:rPr>
        <w:t>2025年广元市图书馆开展绩效目标管理的项目11个，涉及预算567.97万元。其中：人员类项目5个，涉及预算485.78万元；运转类项目4个，涉及预算49.17万元；其中：特定目标类项目2个，涉及预算33.02万元。</w:t>
      </w:r>
    </w:p>
    <w:p>
      <w:pP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br w:type="page"/>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80" w:lineRule="atLeast"/>
        <w:ind w:leftChars="0" w:right="0" w:rightChars="0"/>
        <w:jc w:val="both"/>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bookmarkStart w:id="4" w:name="_Toc454"/>
    </w:p>
    <w:p>
      <w:pPr>
        <w:pStyle w:val="2"/>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pStyle w:val="2"/>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rPr>
          <w:rFonts w:hint="eastAsia"/>
          <w:lang w:val="en-US" w:eastAsia="zh-CN"/>
        </w:rPr>
      </w:pPr>
    </w:p>
    <w:p>
      <w:pPr>
        <w:rPr>
          <w:rFonts w:hint="eastAsia"/>
          <w:lang w:val="en-US" w:eastAsia="zh-CN"/>
        </w:rPr>
      </w:pPr>
    </w:p>
    <w:p>
      <w:pPr>
        <w:pStyle w:val="2"/>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rPr>
          <w:rFonts w:hint="eastAsia"/>
          <w:lang w:val="en-US" w:eastAsia="zh-CN"/>
        </w:rPr>
      </w:pP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80" w:lineRule="atLeast"/>
        <w:ind w:left="0" w:leftChars="0" w:right="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名词解释</w:t>
      </w:r>
      <w:bookmarkEnd w:id="4"/>
    </w:p>
    <w:p>
      <w:pP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pStyle w:val="2"/>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pStyle w:val="2"/>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shd w:val="clear"/>
        <w:ind w:firstLine="640" w:firstLineChars="200"/>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一、财政拨款收入:</w:t>
      </w:r>
      <w:r>
        <w:rPr>
          <w:rFonts w:hint="eastAsia" w:ascii="仿宋_GB2312" w:hAnsi="仿宋_GB2312" w:eastAsia="仿宋_GB2312" w:cs="仿宋_GB2312"/>
          <w:sz w:val="32"/>
          <w:szCs w:val="32"/>
          <w:lang w:val="en-US" w:eastAsia="zh-CN"/>
        </w:rPr>
        <w:t>指市财政当年安排的财政预算收入。按现行管理制度</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部门预算中反映的财政拨款包括一般公共预算拨款和政府性基金预算拨款。</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二、文化旅游体育与传媒（类）文化和旅游（款）图书馆（项）</w:t>
      </w:r>
      <w:r>
        <w:rPr>
          <w:rFonts w:hint="eastAsia"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指图书馆用于保障机构正常运行、开展日常工作的基本及项目支出。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三、社会保障和就业（类）行政事业单位养老支出（款）机关事业单位基本养老保险缴费支出（项）</w:t>
      </w:r>
      <w:r>
        <w:rPr>
          <w:rFonts w:hint="eastAsia"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指部门实施养老保险制度由单位缴纳的养老保险的支出。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四、社会保障和就业（类）其他社会保障和就业支出（款）其他社会保障和就业支出（项）</w:t>
      </w:r>
      <w:r>
        <w:rPr>
          <w:rFonts w:hint="eastAsia"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指由单位缴纳的失业和工伤保险支出。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lang w:val="en-US" w:eastAsia="zh-CN"/>
        </w:rPr>
        <w:t>五、卫生健康（类）行政事业单位医疗（款）事业单位医疗（项）</w:t>
      </w:r>
      <w:r>
        <w:rPr>
          <w:rFonts w:hint="eastAsia"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指事业单位用于单位应缴纳基本医疗保险支出。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六、住房保障（类）住房改革支出（款）住房公积金（项）</w:t>
      </w:r>
      <w:r>
        <w:rPr>
          <w:rFonts w:hint="eastAsia"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指按照《住房公积金管理条例》的规定，由单位及其在职职工缴存的长期住房储金。</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七、基本支出</w:t>
      </w:r>
      <w:r>
        <w:rPr>
          <w:rFonts w:hint="eastAsia"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指为保证机构正常运转，完成日常工作任务而发生的人员支出和公用支出。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八、项目支出</w:t>
      </w:r>
      <w:r>
        <w:rPr>
          <w:rFonts w:hint="eastAsia"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指在基本支出之外为完成特定行政任务和事业发展目标所发生的支出。</w:t>
      </w:r>
    </w:p>
    <w:p>
      <w:pPr>
        <w:keepNext w:val="0"/>
        <w:keepLines w:val="0"/>
        <w:pageBreakBefore w:val="0"/>
        <w:widowControl w:val="0"/>
        <w:shd w:val="clea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九、“三公”经费</w:t>
      </w:r>
      <w:r>
        <w:rPr>
          <w:rFonts w:hint="eastAsia"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纳入市级财政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br w:type="page"/>
      </w:r>
    </w:p>
    <w:p>
      <w:pPr>
        <w:pStyle w:val="2"/>
        <w:rPr>
          <w:rFonts w:hint="eastAsia" w:ascii="仿宋_GB2312" w:hAnsi="仿宋_GB2312" w:eastAsia="仿宋_GB2312" w:cs="仿宋_GB2312"/>
          <w:b/>
          <w:bCs/>
          <w:sz w:val="32"/>
          <w:szCs w:val="32"/>
          <w:lang w:val="en-US" w:eastAsia="zh-CN"/>
        </w:rPr>
      </w:pPr>
    </w:p>
    <w:p>
      <w:pPr>
        <w:rPr>
          <w:rFonts w:hint="eastAsia" w:ascii="仿宋_GB2312" w:hAnsi="仿宋_GB2312" w:eastAsia="仿宋_GB2312" w:cs="仿宋_GB2312"/>
          <w:b/>
          <w:bCs/>
          <w:sz w:val="32"/>
          <w:szCs w:val="32"/>
          <w:lang w:val="en-US" w:eastAsia="zh-CN"/>
        </w:rPr>
      </w:pPr>
    </w:p>
    <w:p>
      <w:pPr>
        <w:pStyle w:val="2"/>
        <w:rPr>
          <w:rFonts w:hint="eastAsia" w:ascii="仿宋_GB2312" w:hAnsi="仿宋_GB2312" w:eastAsia="仿宋_GB2312" w:cs="仿宋_GB2312"/>
          <w:b/>
          <w:bCs/>
          <w:sz w:val="32"/>
          <w:szCs w:val="32"/>
          <w:lang w:val="en-US" w:eastAsia="zh-CN"/>
        </w:rPr>
      </w:pPr>
    </w:p>
    <w:p>
      <w:pPr>
        <w:rPr>
          <w:rFonts w:hint="eastAsia" w:ascii="仿宋_GB2312" w:hAnsi="仿宋_GB2312" w:eastAsia="仿宋_GB2312" w:cs="仿宋_GB2312"/>
          <w:b/>
          <w:bCs/>
          <w:sz w:val="32"/>
          <w:szCs w:val="32"/>
          <w:lang w:val="en-US" w:eastAsia="zh-CN"/>
        </w:rPr>
      </w:pPr>
    </w:p>
    <w:p>
      <w:pPr>
        <w:pStyle w:val="2"/>
        <w:rPr>
          <w:rFonts w:hint="eastAsia" w:ascii="仿宋_GB2312" w:hAnsi="仿宋_GB2312" w:eastAsia="仿宋_GB2312" w:cs="仿宋_GB2312"/>
          <w:b/>
          <w:bCs/>
          <w:sz w:val="32"/>
          <w:szCs w:val="32"/>
          <w:lang w:val="en-US" w:eastAsia="zh-CN"/>
        </w:rPr>
      </w:pPr>
    </w:p>
    <w:p>
      <w:pPr>
        <w:rPr>
          <w:rFonts w:hint="eastAsia" w:ascii="仿宋_GB2312" w:hAnsi="仿宋_GB2312" w:eastAsia="仿宋_GB2312" w:cs="仿宋_GB2312"/>
          <w:b/>
          <w:bCs/>
          <w:sz w:val="32"/>
          <w:szCs w:val="32"/>
          <w:lang w:val="en-US" w:eastAsia="zh-CN"/>
        </w:rPr>
      </w:pPr>
    </w:p>
    <w:p>
      <w:pPr>
        <w:pStyle w:val="2"/>
        <w:rPr>
          <w:rFonts w:hint="eastAsia"/>
          <w:lang w:val="en-US" w:eastAsia="zh-CN"/>
        </w:rPr>
      </w:pPr>
    </w:p>
    <w:p>
      <w:pPr>
        <w:rPr>
          <w:rFonts w:hint="eastAsia" w:ascii="仿宋_GB2312" w:hAnsi="仿宋_GB2312" w:eastAsia="仿宋_GB2312" w:cs="仿宋_GB2312"/>
          <w:b/>
          <w:bCs/>
          <w:sz w:val="32"/>
          <w:szCs w:val="32"/>
          <w:lang w:val="en-US" w:eastAsia="zh-CN"/>
        </w:rPr>
      </w:pPr>
    </w:p>
    <w:p>
      <w:pPr>
        <w:pStyle w:val="2"/>
        <w:rPr>
          <w:rFonts w:hint="eastAsia"/>
          <w:lang w:val="en-US" w:eastAsia="zh-CN"/>
        </w:rPr>
      </w:pP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80" w:lineRule="atLeast"/>
        <w:ind w:left="0" w:leftChars="0" w:right="0" w:firstLine="0" w:firstLineChars="0"/>
        <w:jc w:val="center"/>
        <w:outlineLvl w:val="0"/>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bookmarkStart w:id="5" w:name="_Toc3241"/>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广元市图书馆2025年预算表</w:t>
      </w:r>
      <w:bookmarkEnd w:id="5"/>
    </w:p>
    <w:p>
      <w:pPr>
        <w:pStyle w:val="2"/>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pStyle w:val="2"/>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pStyle w:val="2"/>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pStyle w:val="2"/>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sectPr>
          <w:footerReference r:id="rId3" w:type="default"/>
          <w:pgSz w:w="11906" w:h="16838"/>
          <w:pgMar w:top="2098" w:right="1474" w:bottom="1984" w:left="1587" w:header="720" w:footer="1559" w:gutter="0"/>
          <w:pgBorders>
            <w:top w:val="none" w:sz="0" w:space="0"/>
            <w:left w:val="none" w:sz="0" w:space="0"/>
            <w:bottom w:val="none" w:sz="0" w:space="0"/>
            <w:right w:val="none" w:sz="0" w:space="0"/>
          </w:pgBorders>
          <w:pgNumType w:fmt="decimal"/>
          <w:cols w:space="0" w:num="1"/>
          <w:rtlGutter w:val="0"/>
          <w:docGrid w:type="lines" w:linePitch="312" w:charSpace="0"/>
        </w:sectPr>
      </w:pPr>
    </w:p>
    <w:p>
      <w:pPr>
        <w:rPr>
          <w:rFonts w:hint="eastAsia"/>
          <w:lang w:val="en-US" w:eastAsia="zh-CN"/>
        </w:rPr>
      </w:pPr>
    </w:p>
    <w:p>
      <w:pPr>
        <w:rPr>
          <w:rFonts w:hint="eastAsia"/>
          <w:lang w:val="en-US" w:eastAsia="zh-CN"/>
        </w:rPr>
      </w:pPr>
    </w:p>
    <w:tbl>
      <w:tblPr>
        <w:tblStyle w:val="11"/>
        <w:tblW w:w="1279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604"/>
        <w:gridCol w:w="1796"/>
        <w:gridCol w:w="4604"/>
        <w:gridCol w:w="17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604"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w:t>
            </w:r>
          </w:p>
        </w:tc>
        <w:tc>
          <w:tcPr>
            <w:tcW w:w="1796" w:type="dxa"/>
            <w:tcBorders>
              <w:top w:val="nil"/>
              <w:left w:val="nil"/>
              <w:bottom w:val="nil"/>
              <w:right w:val="nil"/>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p>
        </w:tc>
        <w:tc>
          <w:tcPr>
            <w:tcW w:w="4604"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p>
        </w:tc>
        <w:tc>
          <w:tcPr>
            <w:tcW w:w="179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4"/>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80" w:lineRule="atLeast"/>
              <w:ind w:leftChars="0" w:right="0" w:rightChars="0"/>
              <w:jc w:val="center"/>
              <w:outlineLvl w:val="1"/>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部门收支总表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4604" w:type="dxa"/>
            <w:tcBorders>
              <w:top w:val="nil"/>
              <w:left w:val="nil"/>
              <w:bottom w:val="nil"/>
              <w:right w:val="nil"/>
            </w:tcBorders>
            <w:shd w:val="clear" w:color="auto" w:fill="auto"/>
            <w:vAlign w:val="center"/>
          </w:tcPr>
          <w:p>
            <w:pPr>
              <w:shd w:val="clear"/>
              <w:rPr>
                <w:rFonts w:hint="eastAsia" w:ascii="黑体" w:hAnsi="黑体" w:eastAsia="黑体" w:cs="黑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一、一般公共预算拨款收入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567.97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一、一般公共服务支出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二、政府性基金预算拨款收入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二、外交支出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三、国有资本经营预算拨款收入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三、国防支出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四、事业收入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四、公共安全支出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五、事业单位经营收入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五、教育支出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六、其他收入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六、科学技术支出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七、文化旅游体育与传媒支出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466.70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八、社会保障和就业支出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47.15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九、社会保险基金支出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十、卫生健康支出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14.74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十一、节能环保支出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十二、城乡社区支出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十三、农林水支出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十四、交通运输支出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十五、资源勘探工业信息等支出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十六、商业服务业等支出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十七、金融支出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十八、援助其他地区支出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十九、自然资源海洋气象等支出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二十、住房保障支出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39.38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二十一、粮油物资储备支出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二十二、国有资本经营预算支出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二十三、灾害防治及应急管理支出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二十四、预备费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二十五、其他支出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二十六、转移性支出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二十七、债务还本支出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二十八、债务付息支出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二十九、债务发行费用支出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三十、抗疫特别国债安排的支出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 年 收 入 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567.97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 年 支 出 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567.97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七、用事业基金弥补收支差额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三十一、事业单位结余分配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八、上年结转</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其中：转入事业基金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604" w:type="dxa"/>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rPr>
                <w:rFonts w:hint="eastAsia" w:ascii="Hiragino Sans GB" w:hAnsi="Hiragino Sans GB" w:eastAsia="Hiragino Sans GB" w:cs="Hiragino Sans GB"/>
                <w:i w:val="0"/>
                <w:iCs w:val="0"/>
                <w:color w:val="000000"/>
                <w:sz w:val="18"/>
                <w:szCs w:val="18"/>
                <w:u w:val="none"/>
              </w:rPr>
            </w:pPr>
          </w:p>
        </w:tc>
        <w:tc>
          <w:tcPr>
            <w:tcW w:w="1796" w:type="dxa"/>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rPr>
                <w:rFonts w:hint="default" w:ascii="Hiragino Sans GB" w:hAnsi="Hiragino Sans GB" w:eastAsia="Hiragino Sans GB" w:cs="Hiragino Sans GB"/>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三十二、结转下年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  总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567.97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  总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567.97</w:t>
            </w:r>
          </w:p>
        </w:tc>
      </w:tr>
    </w:tbl>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11"/>
        <w:tblW w:w="1390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986"/>
        <w:gridCol w:w="1521"/>
        <w:gridCol w:w="976"/>
        <w:gridCol w:w="840"/>
        <w:gridCol w:w="923"/>
        <w:gridCol w:w="955"/>
        <w:gridCol w:w="882"/>
        <w:gridCol w:w="809"/>
        <w:gridCol w:w="912"/>
        <w:gridCol w:w="852"/>
        <w:gridCol w:w="735"/>
        <w:gridCol w:w="756"/>
        <w:gridCol w:w="1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98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附表2</w:t>
            </w:r>
          </w:p>
        </w:tc>
        <w:tc>
          <w:tcPr>
            <w:tcW w:w="1521" w:type="dxa"/>
            <w:tcBorders>
              <w:top w:val="nil"/>
              <w:left w:val="nil"/>
              <w:bottom w:val="nil"/>
              <w:right w:val="nil"/>
            </w:tcBorders>
            <w:shd w:val="clear" w:color="auto" w:fill="auto"/>
            <w:vAlign w:val="center"/>
          </w:tcPr>
          <w:p>
            <w:pPr>
              <w:shd w:val="clear"/>
              <w:rPr>
                <w:rFonts w:hint="eastAsia" w:ascii="黑体" w:hAnsi="黑体" w:eastAsia="黑体" w:cs="黑体"/>
                <w:i w:val="0"/>
                <w:iCs w:val="0"/>
                <w:color w:val="000000"/>
                <w:sz w:val="18"/>
                <w:szCs w:val="18"/>
                <w:u w:val="none"/>
              </w:rPr>
            </w:pPr>
          </w:p>
        </w:tc>
        <w:tc>
          <w:tcPr>
            <w:tcW w:w="97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840"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923"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955" w:type="dxa"/>
            <w:tcBorders>
              <w:top w:val="nil"/>
              <w:left w:val="nil"/>
              <w:bottom w:val="nil"/>
              <w:right w:val="nil"/>
            </w:tcBorders>
            <w:shd w:val="clear" w:color="auto" w:fill="auto"/>
            <w:vAlign w:val="center"/>
          </w:tcPr>
          <w:p>
            <w:pPr>
              <w:shd w:val="clear"/>
              <w:rPr>
                <w:rFonts w:hint="default" w:ascii="黑体" w:hAnsi="黑体" w:eastAsia="黑体" w:cs="黑体"/>
                <w:i w:val="0"/>
                <w:iCs w:val="0"/>
                <w:color w:val="000000"/>
                <w:sz w:val="18"/>
                <w:szCs w:val="18"/>
                <w:u w:val="none"/>
              </w:rPr>
            </w:pPr>
          </w:p>
        </w:tc>
        <w:tc>
          <w:tcPr>
            <w:tcW w:w="882" w:type="dxa"/>
            <w:tcBorders>
              <w:top w:val="nil"/>
              <w:left w:val="nil"/>
              <w:bottom w:val="nil"/>
              <w:right w:val="nil"/>
            </w:tcBorders>
            <w:shd w:val="clear" w:color="auto" w:fill="auto"/>
            <w:vAlign w:val="center"/>
          </w:tcPr>
          <w:p>
            <w:pPr>
              <w:shd w:val="clear"/>
              <w:rPr>
                <w:rFonts w:hint="default" w:ascii="黑体" w:hAnsi="黑体" w:eastAsia="黑体" w:cs="黑体"/>
                <w:i w:val="0"/>
                <w:iCs w:val="0"/>
                <w:color w:val="000000"/>
                <w:sz w:val="18"/>
                <w:szCs w:val="18"/>
                <w:u w:val="none"/>
              </w:rPr>
            </w:pPr>
          </w:p>
        </w:tc>
        <w:tc>
          <w:tcPr>
            <w:tcW w:w="809" w:type="dxa"/>
            <w:tcBorders>
              <w:top w:val="nil"/>
              <w:left w:val="nil"/>
              <w:bottom w:val="nil"/>
              <w:right w:val="nil"/>
            </w:tcBorders>
            <w:shd w:val="clear" w:color="auto" w:fill="auto"/>
            <w:vAlign w:val="center"/>
          </w:tcPr>
          <w:p>
            <w:pPr>
              <w:shd w:val="clear"/>
              <w:rPr>
                <w:rFonts w:hint="default" w:ascii="黑体" w:hAnsi="黑体" w:eastAsia="黑体" w:cs="黑体"/>
                <w:i w:val="0"/>
                <w:iCs w:val="0"/>
                <w:color w:val="000000"/>
                <w:sz w:val="18"/>
                <w:szCs w:val="18"/>
                <w:u w:val="none"/>
              </w:rPr>
            </w:pPr>
          </w:p>
        </w:tc>
        <w:tc>
          <w:tcPr>
            <w:tcW w:w="912" w:type="dxa"/>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852" w:type="dxa"/>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735" w:type="dxa"/>
            <w:tcBorders>
              <w:top w:val="nil"/>
              <w:left w:val="nil"/>
              <w:bottom w:val="nil"/>
              <w:right w:val="nil"/>
            </w:tcBorders>
            <w:shd w:val="clear" w:color="auto" w:fill="auto"/>
            <w:vAlign w:val="center"/>
          </w:tcPr>
          <w:p>
            <w:pPr>
              <w:shd w:val="clear"/>
              <w:rPr>
                <w:rFonts w:hint="default" w:ascii="黑体" w:hAnsi="黑体" w:eastAsia="黑体" w:cs="黑体"/>
                <w:i w:val="0"/>
                <w:iCs w:val="0"/>
                <w:color w:val="000000"/>
                <w:sz w:val="18"/>
                <w:szCs w:val="18"/>
                <w:u w:val="none"/>
              </w:rPr>
            </w:pPr>
          </w:p>
        </w:tc>
        <w:tc>
          <w:tcPr>
            <w:tcW w:w="756" w:type="dxa"/>
            <w:tcBorders>
              <w:top w:val="nil"/>
              <w:left w:val="nil"/>
              <w:bottom w:val="nil"/>
              <w:right w:val="nil"/>
            </w:tcBorders>
            <w:shd w:val="clear" w:color="auto" w:fill="auto"/>
            <w:vAlign w:val="center"/>
          </w:tcPr>
          <w:p>
            <w:pPr>
              <w:shd w:val="clear"/>
              <w:rPr>
                <w:rFonts w:hint="default" w:ascii="黑体" w:hAnsi="黑体" w:eastAsia="黑体" w:cs="黑体"/>
                <w:i w:val="0"/>
                <w:iCs w:val="0"/>
                <w:color w:val="000000"/>
                <w:sz w:val="18"/>
                <w:szCs w:val="18"/>
                <w:u w:val="none"/>
              </w:rPr>
            </w:pPr>
          </w:p>
        </w:tc>
        <w:tc>
          <w:tcPr>
            <w:tcW w:w="1756" w:type="dxa"/>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shd w:val="clear"/>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3903" w:type="dxa"/>
            <w:gridSpan w:val="13"/>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部门收入总表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3507" w:type="dxa"/>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976"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840"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923"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955"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882"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809"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912"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852"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735"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756"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756"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35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9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84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w:t>
            </w:r>
          </w:p>
        </w:tc>
        <w:tc>
          <w:tcPr>
            <w:tcW w:w="9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拨款收入</w:t>
            </w:r>
          </w:p>
        </w:tc>
        <w:tc>
          <w:tcPr>
            <w:tcW w:w="9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政府性基金预算拨款收入</w:t>
            </w:r>
          </w:p>
        </w:tc>
        <w:tc>
          <w:tcPr>
            <w:tcW w:w="8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预算拨款收入</w:t>
            </w:r>
          </w:p>
        </w:tc>
        <w:tc>
          <w:tcPr>
            <w:tcW w:w="8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事业收入</w:t>
            </w:r>
          </w:p>
        </w:tc>
        <w:tc>
          <w:tcPr>
            <w:tcW w:w="9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事业单位经营</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 xml:space="preserve">收入 </w:t>
            </w:r>
          </w:p>
        </w:tc>
        <w:tc>
          <w:tcPr>
            <w:tcW w:w="85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其他收入</w:t>
            </w: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上级补助收入</w:t>
            </w:r>
          </w:p>
        </w:tc>
        <w:tc>
          <w:tcPr>
            <w:tcW w:w="7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附属单位上缴</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收入</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用事业基金弥补收支差额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98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52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9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8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8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7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98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52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8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8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7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9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325901</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ind w:left="-199" w:leftChars="-95" w:right="-174" w:rightChars="-83" w:firstLine="0" w:firstLineChars="0"/>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广元市图书馆</w:t>
            </w:r>
          </w:p>
        </w:tc>
        <w:tc>
          <w:tcPr>
            <w:tcW w:w="9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567.97</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567.97</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bl>
    <w:p>
      <w:pPr>
        <w:keepNext w:val="0"/>
        <w:keepLines w:val="0"/>
        <w:widowControl/>
        <w:suppressLineNumbers w:val="0"/>
        <w:shd w:val="clear"/>
        <w:jc w:val="left"/>
        <w:textAlignment w:val="center"/>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br w:type="page"/>
      </w:r>
    </w:p>
    <w:tbl>
      <w:tblPr>
        <w:tblStyle w:val="11"/>
        <w:tblW w:w="11564"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49"/>
        <w:gridCol w:w="438"/>
        <w:gridCol w:w="444"/>
        <w:gridCol w:w="1125"/>
        <w:gridCol w:w="441"/>
        <w:gridCol w:w="1104"/>
        <w:gridCol w:w="2310"/>
        <w:gridCol w:w="1230"/>
        <w:gridCol w:w="960"/>
        <w:gridCol w:w="855"/>
        <w:gridCol w:w="236"/>
        <w:gridCol w:w="784"/>
        <w:gridCol w:w="1017"/>
        <w:gridCol w:w="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997" w:type="dxa"/>
            <w:gridSpan w:val="5"/>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附表3</w:t>
            </w:r>
          </w:p>
        </w:tc>
        <w:tc>
          <w:tcPr>
            <w:tcW w:w="1104" w:type="dxa"/>
            <w:tcBorders>
              <w:top w:val="nil"/>
              <w:left w:val="nil"/>
              <w:bottom w:val="nil"/>
              <w:right w:val="nil"/>
            </w:tcBorders>
            <w:shd w:val="clear" w:color="auto" w:fill="auto"/>
            <w:vAlign w:val="center"/>
          </w:tcPr>
          <w:p>
            <w:pPr>
              <w:shd w:val="clear"/>
              <w:rPr>
                <w:rFonts w:hint="eastAsia" w:ascii="黑体" w:hAnsi="黑体" w:eastAsia="黑体" w:cs="黑体"/>
                <w:i w:val="0"/>
                <w:iCs w:val="0"/>
                <w:color w:val="000000"/>
                <w:sz w:val="18"/>
                <w:szCs w:val="18"/>
                <w:u w:val="none"/>
              </w:rPr>
            </w:pPr>
          </w:p>
        </w:tc>
        <w:tc>
          <w:tcPr>
            <w:tcW w:w="2310" w:type="dxa"/>
            <w:tcBorders>
              <w:top w:val="nil"/>
              <w:left w:val="nil"/>
              <w:bottom w:val="nil"/>
              <w:right w:val="nil"/>
            </w:tcBorders>
            <w:shd w:val="clear" w:color="auto" w:fill="auto"/>
            <w:vAlign w:val="center"/>
          </w:tcPr>
          <w:p>
            <w:pPr>
              <w:shd w:val="clear"/>
              <w:rPr>
                <w:rFonts w:hint="default" w:ascii="黑体" w:hAnsi="黑体" w:eastAsia="黑体" w:cs="黑体"/>
                <w:i w:val="0"/>
                <w:iCs w:val="0"/>
                <w:color w:val="000000"/>
                <w:sz w:val="18"/>
                <w:szCs w:val="18"/>
                <w:u w:val="none"/>
              </w:rPr>
            </w:pPr>
          </w:p>
        </w:tc>
        <w:tc>
          <w:tcPr>
            <w:tcW w:w="1230"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960"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855"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23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872"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shd w:val="clear"/>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456" w:hRule="atLeast"/>
        </w:trPr>
        <w:tc>
          <w:tcPr>
            <w:tcW w:w="11493" w:type="dxa"/>
            <w:gridSpan w:val="13"/>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部门支出总表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6411" w:type="dxa"/>
            <w:gridSpan w:val="7"/>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1230"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960"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855"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236"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872" w:type="dxa"/>
            <w:gridSpan w:val="3"/>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488" w:hRule="atLeast"/>
        </w:trPr>
        <w:tc>
          <w:tcPr>
            <w:tcW w:w="641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3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8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10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上缴上级支出</w:t>
            </w:r>
          </w:p>
        </w:tc>
        <w:tc>
          <w:tcPr>
            <w:tcW w:w="10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对附属单位补助支出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488" w:hRule="atLeast"/>
        </w:trPr>
        <w:tc>
          <w:tcPr>
            <w:tcW w:w="143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12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3855"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23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0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0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488"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12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3855"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23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8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0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0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385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567.97</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534.95</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33.02</w:t>
            </w: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cs="宋体"/>
                <w:b/>
                <w:bCs/>
                <w:i w:val="0"/>
                <w:iCs w:val="0"/>
                <w:color w:val="000000"/>
                <w:sz w:val="22"/>
                <w:szCs w:val="22"/>
                <w:u w:val="none"/>
                <w:lang w:val="en-US" w:eastAsia="zh-CN"/>
              </w:rPr>
            </w:pP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cs="宋体"/>
                <w:b/>
                <w:bCs/>
                <w:i w:val="0"/>
                <w:iCs w:val="0"/>
                <w:color w:val="000000"/>
                <w:sz w:val="22"/>
                <w:szCs w:val="22"/>
                <w:u w:val="none"/>
                <w:lang w:val="en-US" w:eastAsia="zh-CN"/>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cs="宋体"/>
                <w:b/>
                <w:bCs/>
                <w:i w:val="0"/>
                <w:iCs w:val="0"/>
                <w:color w:val="000000"/>
                <w:sz w:val="22"/>
                <w:szCs w:val="22"/>
                <w:u w:val="none"/>
                <w:lang w:val="en-US" w:eastAsia="zh-CN"/>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cs="宋体"/>
                <w:b/>
                <w:bCs/>
                <w:i w:val="0"/>
                <w:iCs w:val="0"/>
                <w:color w:val="000000"/>
                <w:sz w:val="22"/>
                <w:szCs w:val="22"/>
                <w:u w:val="none"/>
                <w:lang w:val="en-US" w:eastAsia="zh-CN"/>
              </w:rPr>
            </w:pPr>
          </w:p>
        </w:tc>
        <w:tc>
          <w:tcPr>
            <w:tcW w:w="385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广元市图书馆</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567.97</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534.95</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33.02</w:t>
            </w: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207</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01</w:t>
            </w:r>
          </w:p>
        </w:tc>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04</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325901</w:t>
            </w:r>
          </w:p>
        </w:tc>
        <w:tc>
          <w:tcPr>
            <w:tcW w:w="385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图书馆</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466.70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433.68</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33.02</w:t>
            </w: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208</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05</w:t>
            </w:r>
          </w:p>
        </w:tc>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05</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sz w:val="22"/>
                <w:szCs w:val="22"/>
                <w:u w:val="none"/>
                <w:lang w:val="en-US" w:eastAsia="zh-CN"/>
              </w:rPr>
              <w:t>325901</w:t>
            </w:r>
          </w:p>
        </w:tc>
        <w:tc>
          <w:tcPr>
            <w:tcW w:w="385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机关事业单位基本养老保险缴费支出</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45.40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45.40</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208</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99</w:t>
            </w:r>
          </w:p>
        </w:tc>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99</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sz w:val="22"/>
                <w:szCs w:val="22"/>
                <w:u w:val="none"/>
                <w:lang w:val="en-US" w:eastAsia="zh-CN"/>
              </w:rPr>
              <w:t>325901</w:t>
            </w:r>
          </w:p>
        </w:tc>
        <w:tc>
          <w:tcPr>
            <w:tcW w:w="385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其他社会保障和就业支出</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1.75</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1.75</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210</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11</w:t>
            </w:r>
          </w:p>
        </w:tc>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02</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sz w:val="22"/>
                <w:szCs w:val="22"/>
                <w:u w:val="none"/>
                <w:lang w:val="en-US" w:eastAsia="zh-CN"/>
              </w:rPr>
              <w:t>325901</w:t>
            </w:r>
          </w:p>
        </w:tc>
        <w:tc>
          <w:tcPr>
            <w:tcW w:w="385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事业单位医疗</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14.74</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14.74</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1"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221</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02</w:t>
            </w:r>
          </w:p>
        </w:tc>
        <w:tc>
          <w:tcPr>
            <w:tcW w:w="4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01</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sz w:val="22"/>
                <w:szCs w:val="22"/>
                <w:u w:val="none"/>
                <w:lang w:val="en-US" w:eastAsia="zh-CN"/>
              </w:rPr>
              <w:t>325901</w:t>
            </w:r>
          </w:p>
        </w:tc>
        <w:tc>
          <w:tcPr>
            <w:tcW w:w="385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住房公积金</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39.38</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39.38</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bl>
    <w:p>
      <w:pPr>
        <w:keepNext w:val="0"/>
        <w:keepLines w:val="0"/>
        <w:widowControl/>
        <w:suppressLineNumbers w:val="0"/>
        <w:shd w:val="clear"/>
        <w:jc w:val="left"/>
        <w:textAlignment w:val="center"/>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br w:type="page"/>
      </w:r>
    </w:p>
    <w:tbl>
      <w:tblPr>
        <w:tblStyle w:val="11"/>
        <w:tblW w:w="1287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313"/>
        <w:gridCol w:w="1256"/>
        <w:gridCol w:w="3200"/>
        <w:gridCol w:w="1256"/>
        <w:gridCol w:w="1418"/>
        <w:gridCol w:w="1215"/>
        <w:gridCol w:w="12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3313"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附表4</w:t>
            </w:r>
          </w:p>
        </w:tc>
        <w:tc>
          <w:tcPr>
            <w:tcW w:w="125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3200"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1256" w:type="dxa"/>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1418" w:type="dxa"/>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1215" w:type="dxa"/>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1215"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表2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2873" w:type="dxa"/>
            <w:gridSpan w:val="7"/>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财政拨款收支预算总表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4569" w:type="dxa"/>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3200" w:type="dxa"/>
            <w:tcBorders>
              <w:top w:val="nil"/>
              <w:left w:val="nil"/>
              <w:bottom w:val="nil"/>
              <w:right w:val="nil"/>
            </w:tcBorders>
            <w:shd w:val="clear" w:color="auto" w:fill="auto"/>
            <w:vAlign w:val="center"/>
          </w:tcPr>
          <w:p>
            <w:pPr>
              <w:shd w:val="clear"/>
              <w:rPr>
                <w:rFonts w:hint="eastAsia" w:ascii="黑体" w:hAnsi="黑体" w:eastAsia="黑体" w:cs="黑体"/>
                <w:i w:val="0"/>
                <w:iCs w:val="0"/>
                <w:color w:val="000000"/>
                <w:sz w:val="18"/>
                <w:szCs w:val="18"/>
                <w:u w:val="none"/>
              </w:rPr>
            </w:pPr>
          </w:p>
        </w:tc>
        <w:tc>
          <w:tcPr>
            <w:tcW w:w="1256" w:type="dxa"/>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3848" w:type="dxa"/>
            <w:gridSpan w:val="3"/>
            <w:tcBorders>
              <w:top w:val="nil"/>
              <w:left w:val="nil"/>
              <w:bottom w:val="nil"/>
              <w:right w:val="nil"/>
            </w:tcBorders>
            <w:shd w:val="clear" w:color="auto" w:fill="auto"/>
            <w:noWrap/>
            <w:vAlign w:val="center"/>
          </w:tcPr>
          <w:p>
            <w:pPr>
              <w:keepNext w:val="0"/>
              <w:keepLines w:val="0"/>
              <w:widowControl/>
              <w:suppressLineNumbers w:val="0"/>
              <w:shd w:val="clear"/>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5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83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一、本年收入</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567.97</w:t>
            </w: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一、本年支出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567.97</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567.97</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一般公共预算拨款收入</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567.97</w:t>
            </w: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一般公共服务支出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政府性基金预算拨款收入</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外交支出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国有资本经营预算拨款收入</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国防支出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二、上年结转</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公共安全支出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一般公共预算拨款收入</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教育支出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政府性基金预算拨款收入</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科学技术支出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国有资本经营预算拨款收入</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文化旅游体育与传媒支出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466.70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466.70</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社会保障和就业支出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47.15</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47.15</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社会保险基金支出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卫生健康支出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14.74</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14.74</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节能环保支出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城乡社区支出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农林水支出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交通运输支出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资源勘探工业信息等支出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商业服务业等支出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金融支出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援助其他地区支出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自然资源海洋气象等支出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住房保障支出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39.38</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39.38</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粮油物资储备支出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国有资本经营预算支出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灾害防治及应急管理支出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债务付息支出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债务发行费用支出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33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32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抗疫特别国债安排的支出</w:t>
            </w:r>
          </w:p>
        </w:tc>
        <w:tc>
          <w:tcPr>
            <w:tcW w:w="12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bl>
    <w:p>
      <w:pPr>
        <w:shd w:val="clea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11"/>
        <w:tblW w:w="16186" w:type="dxa"/>
        <w:tblInd w:w="-154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5"/>
        <w:gridCol w:w="635"/>
        <w:gridCol w:w="986"/>
        <w:gridCol w:w="1899"/>
        <w:gridCol w:w="960"/>
        <w:gridCol w:w="975"/>
        <w:gridCol w:w="1080"/>
        <w:gridCol w:w="930"/>
        <w:gridCol w:w="846"/>
        <w:gridCol w:w="685"/>
        <w:gridCol w:w="437"/>
        <w:gridCol w:w="437"/>
        <w:gridCol w:w="437"/>
        <w:gridCol w:w="437"/>
        <w:gridCol w:w="437"/>
        <w:gridCol w:w="437"/>
        <w:gridCol w:w="437"/>
        <w:gridCol w:w="437"/>
        <w:gridCol w:w="437"/>
        <w:gridCol w:w="437"/>
        <w:gridCol w:w="437"/>
        <w:gridCol w:w="437"/>
        <w:gridCol w:w="437"/>
        <w:gridCol w:w="437"/>
        <w:gridCol w:w="4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7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附表5</w:t>
            </w:r>
          </w:p>
        </w:tc>
        <w:tc>
          <w:tcPr>
            <w:tcW w:w="98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899"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960"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975"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1080"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930"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84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685"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6186" w:type="dxa"/>
            <w:gridSpan w:val="25"/>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4155" w:type="dxa"/>
            <w:gridSpan w:val="4"/>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960"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975"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1080" w:type="dxa"/>
            <w:tcBorders>
              <w:top w:val="single" w:color="FFFFFF" w:sz="4" w:space="0"/>
              <w:left w:val="single" w:color="FFFFFF" w:sz="4" w:space="0"/>
              <w:bottom w:val="nil"/>
              <w:right w:val="single" w:color="FFFFFF"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930"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846"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685"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37"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415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总计</w:t>
            </w:r>
          </w:p>
        </w:tc>
        <w:tc>
          <w:tcPr>
            <w:tcW w:w="6701"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市级</w:t>
            </w:r>
            <w:r>
              <w:rPr>
                <w:rFonts w:hint="eastAsia" w:ascii="宋体" w:hAnsi="宋体" w:eastAsia="宋体" w:cs="宋体"/>
                <w:b/>
                <w:bCs/>
                <w:i w:val="0"/>
                <w:iCs w:val="0"/>
                <w:color w:val="000000"/>
                <w:kern w:val="0"/>
                <w:sz w:val="22"/>
                <w:szCs w:val="22"/>
                <w:u w:val="none"/>
                <w:lang w:val="en-US" w:eastAsia="zh-CN" w:bidi="ar"/>
              </w:rPr>
              <w:t>当年财政拨款安排</w:t>
            </w:r>
          </w:p>
        </w:tc>
        <w:tc>
          <w:tcPr>
            <w:tcW w:w="4370"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中央提前通知专项转移支付等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2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98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8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285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55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31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c>
          <w:tcPr>
            <w:tcW w:w="4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31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31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31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98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8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6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567.97</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567.97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567.97</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567.97</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33.02</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567.97</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567.97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567.97</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567.97</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33.02</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b w:val="0"/>
                <w:bCs w:val="0"/>
              </w:rPr>
              <w:t>广元市图书馆</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567.97</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567.97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567.97</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567.97</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33.02</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b w:val="0"/>
                <w:bCs w:val="0"/>
                <w:lang w:val="en-US" w:eastAsia="zh-CN"/>
              </w:rPr>
              <w:t xml:space="preserve"> </w:t>
            </w:r>
            <w:r>
              <w:rPr>
                <w:rFonts w:hint="eastAsia"/>
                <w:b w:val="0"/>
                <w:bCs w:val="0"/>
              </w:rPr>
              <w:t>工资福利支出</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415.22</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415.22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415.22</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415.22</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01</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基本工资</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117.88</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117.88</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117.88</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117.88</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01</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b w:val="0"/>
                <w:bCs w:val="0"/>
                <w:lang w:val="en-US" w:eastAsia="zh-CN"/>
              </w:rPr>
              <w:t xml:space="preserve">   </w:t>
            </w:r>
            <w:r>
              <w:rPr>
                <w:rFonts w:hint="eastAsia" w:ascii="宋体" w:hAnsi="宋体" w:eastAsia="宋体" w:cs="宋体"/>
                <w:b w:val="0"/>
                <w:bCs w:val="0"/>
                <w:i w:val="0"/>
                <w:iCs w:val="0"/>
                <w:color w:val="000000"/>
                <w:sz w:val="22"/>
                <w:szCs w:val="22"/>
                <w:u w:val="none"/>
              </w:rPr>
              <w:t>晋级工资</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1.40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1.40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1.40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1.40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01</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b w:val="0"/>
                <w:bCs w:val="0"/>
                <w:lang w:val="en-US" w:eastAsia="zh-CN"/>
              </w:rPr>
              <w:t xml:space="preserve">   </w:t>
            </w:r>
            <w:r>
              <w:rPr>
                <w:rFonts w:hint="eastAsia" w:ascii="宋体" w:hAnsi="宋体" w:eastAsia="宋体" w:cs="宋体"/>
                <w:b w:val="0"/>
                <w:bCs w:val="0"/>
                <w:i w:val="0"/>
                <w:iCs w:val="0"/>
                <w:color w:val="000000"/>
                <w:sz w:val="22"/>
                <w:szCs w:val="22"/>
                <w:u w:val="none"/>
              </w:rPr>
              <w:t>基本工资</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116.47</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116.47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116.47</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116.47</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eastAsia="宋体" w:cs="宋体"/>
                <w:b w:val="0"/>
                <w:bCs w:val="0"/>
                <w:i w:val="0"/>
                <w:iCs w:val="0"/>
                <w:color w:val="000000"/>
                <w:kern w:val="2"/>
                <w:sz w:val="22"/>
                <w:szCs w:val="22"/>
                <w:u w:val="none"/>
                <w:lang w:val="en-US" w:eastAsia="zh-CN" w:bidi="ar-SA"/>
              </w:rPr>
            </w:pPr>
            <w:r>
              <w:rPr>
                <w:rFonts w:hint="eastAsia" w:ascii="宋体" w:hAnsi="宋体" w:cs="宋体"/>
                <w:b w:val="0"/>
                <w:bCs w:val="0"/>
                <w:i w:val="0"/>
                <w:iCs w:val="0"/>
                <w:color w:val="000000"/>
                <w:sz w:val="22"/>
                <w:szCs w:val="22"/>
                <w:u w:val="none"/>
                <w:lang w:val="en-US" w:eastAsia="zh-CN"/>
              </w:rPr>
              <w:t>02</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rPr>
            </w:pPr>
            <w:r>
              <w:rPr>
                <w:rFonts w:hint="eastAsia"/>
                <w:b w:val="0"/>
                <w:bCs w:val="0"/>
                <w:lang w:val="en-US" w:eastAsia="zh-CN"/>
              </w:rPr>
              <w:t xml:space="preserve">  津贴补贴</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10.50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10.50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10.50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10.50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02</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其他津贴补贴（含工改、审计等</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10.50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10.50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10.50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10.50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03</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b w:val="0"/>
                <w:bCs w:val="0"/>
                <w:lang w:val="en-US" w:eastAsia="zh-CN"/>
              </w:rPr>
            </w:pPr>
            <w:r>
              <w:rPr>
                <w:rFonts w:hint="eastAsia"/>
                <w:b w:val="0"/>
                <w:bCs w:val="0"/>
                <w:lang w:val="en-US" w:eastAsia="zh-CN"/>
              </w:rPr>
              <w:t xml:space="preserve">  奖金</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108.04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108.04</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108.04</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108.04</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03</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基础绩效奖</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87.24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87.24</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87.24</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87.24</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03</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事业人员年度考核奖</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20.80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20.80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20.80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20.80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07</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绩效工资</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77.54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77.54</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77.54</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77.54</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08</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机关事业单位基本养老保险缴费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45.40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45.40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45.40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45.40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职工基本医疗保险缴费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14.74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14.74</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14.74</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14.74</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12</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其他社会保障缴费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1.75</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1.75</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1.75</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1.75</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12</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失业保险</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1.18</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1.18</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1.18</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1.18</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12</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工伤保险</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0.57</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0.57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0.57</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0.57</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301</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12</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住房公积金</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39.38</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39.38</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39.38</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39.38</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商品和服务支出</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59.17</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59.17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59.17</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49.17</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10.00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01</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办公费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1.50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1.50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1.50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1.50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02</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印刷费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04</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手续费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05</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水费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1.00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1.00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1.00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1.00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06</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电费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4.00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4.00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4.00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sz w:val="22"/>
                <w:szCs w:val="22"/>
                <w:lang w:val="en-US" w:eastAsia="zh-CN"/>
              </w:rPr>
              <w:t>1.5</w:t>
            </w:r>
            <w:r>
              <w:rPr>
                <w:rFonts w:hint="eastAsia" w:ascii="宋体" w:hAnsi="宋体" w:eastAsia="宋体" w:cs="宋体"/>
                <w:sz w:val="22"/>
                <w:szCs w:val="22"/>
              </w:rPr>
              <w:t>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2.50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07</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邮电费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2.50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2.50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2.50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sz w:val="22"/>
                <w:szCs w:val="22"/>
                <w:lang w:val="en-US" w:eastAsia="zh-CN"/>
              </w:rPr>
              <w:t>1</w:t>
            </w:r>
            <w:r>
              <w:rPr>
                <w:rFonts w:hint="eastAsia" w:ascii="宋体" w:hAnsi="宋体" w:eastAsia="宋体" w:cs="宋体"/>
                <w:sz w:val="22"/>
                <w:szCs w:val="22"/>
              </w:rPr>
              <w:t>.50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物业管理费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0.40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11</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差旅费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6.00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6.00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6.00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6.00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13</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维修（护）费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2.00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2.00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2.00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2.00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14</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租赁费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2.00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2.00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2.00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2.00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15</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会议费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0.50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0.50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0.50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0.50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16</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培训费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0.30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0.30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0.30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0.30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17</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公务接待费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0.12</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0.12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0.12</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0.12</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26</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劳务费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13.00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13.00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13.00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sz w:val="22"/>
                <w:szCs w:val="22"/>
                <w:lang w:val="en-US" w:eastAsia="zh-CN"/>
              </w:rPr>
              <w:t>7</w:t>
            </w:r>
            <w:r>
              <w:rPr>
                <w:rFonts w:hint="eastAsia" w:ascii="宋体" w:hAnsi="宋体" w:eastAsia="宋体" w:cs="宋体"/>
                <w:sz w:val="22"/>
                <w:szCs w:val="22"/>
              </w:rPr>
              <w:t>.00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6.00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27</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委托业务费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0.24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0.24</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0.24</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0.24</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28</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工会经费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2.36</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2.36</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2.36</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2.36</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29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福利费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7.07</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7.07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7.07</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7.07</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29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福利费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3.57</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3.57</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3.57</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3.57</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29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食堂补助经费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3.50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3.50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3.50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3.50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39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其他交通费用</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3.00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3.00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3.00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3.00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99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其他商品和服务支出</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12.38</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12.38</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12.38</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1</w:t>
            </w:r>
            <w:r>
              <w:rPr>
                <w:rFonts w:hint="eastAsia" w:ascii="宋体" w:hAnsi="宋体" w:cs="宋体"/>
                <w:sz w:val="22"/>
                <w:szCs w:val="22"/>
                <w:lang w:val="en-US" w:eastAsia="zh-CN"/>
              </w:rPr>
              <w:t>1</w:t>
            </w:r>
            <w:r>
              <w:rPr>
                <w:rFonts w:hint="eastAsia" w:ascii="宋体" w:hAnsi="宋体" w:eastAsia="宋体" w:cs="宋体"/>
                <w:sz w:val="22"/>
                <w:szCs w:val="22"/>
              </w:rPr>
              <w:t>.</w:t>
            </w:r>
            <w:r>
              <w:rPr>
                <w:rFonts w:hint="eastAsia" w:ascii="宋体" w:hAnsi="宋体" w:cs="宋体"/>
                <w:sz w:val="22"/>
                <w:szCs w:val="22"/>
                <w:lang w:val="en-US" w:eastAsia="zh-CN"/>
              </w:rPr>
              <w:t>8</w:t>
            </w:r>
            <w:r>
              <w:rPr>
                <w:rFonts w:hint="eastAsia" w:ascii="宋体" w:hAnsi="宋体" w:eastAsia="宋体" w:cs="宋体"/>
                <w:sz w:val="22"/>
                <w:szCs w:val="22"/>
              </w:rPr>
              <w:t>8</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0.50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99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党建经费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lang w:val="en-US" w:eastAsia="zh-CN"/>
              </w:rPr>
            </w:pPr>
            <w:r>
              <w:rPr>
                <w:rFonts w:hint="eastAsia" w:ascii="宋体" w:hAnsi="宋体" w:eastAsia="宋体" w:cs="宋体"/>
                <w:sz w:val="22"/>
                <w:szCs w:val="22"/>
              </w:rPr>
              <w:t>7.96</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7.96</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7.96</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7.96</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99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退休人员活动经费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1.52</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1.52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1.52</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1.52</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99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食堂补助经费</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302</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eastAsia="宋体" w:cs="宋体"/>
                <w:sz w:val="22"/>
                <w:szCs w:val="22"/>
              </w:rPr>
              <w:t>99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w:t>
            </w:r>
            <w:r>
              <w:rPr>
                <w:rFonts w:hint="eastAsia"/>
              </w:rPr>
              <w:t>其他商品和服务支出</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1.90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1.90</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1.90</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1.40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0.50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对个人和家庭的补助</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303</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05</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生活补助</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303</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05</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退休人员绩效补助</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70.56</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资本性支出</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23.02</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23.02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23.02</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23.02</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310</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99</w:t>
            </w:r>
          </w:p>
        </w:tc>
        <w:tc>
          <w:tcPr>
            <w:tcW w:w="9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18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b w:val="0"/>
                <w:bCs w:val="0"/>
                <w:lang w:val="en-US" w:eastAsia="zh-CN"/>
              </w:rPr>
            </w:pPr>
            <w:r>
              <w:rPr>
                <w:rFonts w:hint="eastAsia"/>
                <w:b w:val="0"/>
                <w:bCs w:val="0"/>
                <w:lang w:val="en-US" w:eastAsia="zh-CN"/>
              </w:rPr>
              <w:t xml:space="preserve">  其他资本性支出</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23.02</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23.02</w:t>
            </w:r>
          </w:p>
        </w:tc>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23.02</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cs="宋体"/>
                <w:b w:val="0"/>
                <w:bCs w:val="0"/>
                <w:i w:val="0"/>
                <w:iCs w:val="0"/>
                <w:color w:val="000000"/>
                <w:sz w:val="22"/>
                <w:szCs w:val="22"/>
                <w:u w:val="none"/>
                <w:lang w:val="en-US" w:eastAsia="zh-CN"/>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23.02</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4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bl>
    <w:p>
      <w:pPr>
        <w:shd w:val="clea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11"/>
        <w:tblW w:w="16185" w:type="dxa"/>
        <w:tblInd w:w="-154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5"/>
        <w:gridCol w:w="635"/>
        <w:gridCol w:w="980"/>
        <w:gridCol w:w="1635"/>
        <w:gridCol w:w="1020"/>
        <w:gridCol w:w="940"/>
        <w:gridCol w:w="80"/>
        <w:gridCol w:w="860"/>
        <w:gridCol w:w="175"/>
        <w:gridCol w:w="765"/>
        <w:gridCol w:w="330"/>
        <w:gridCol w:w="610"/>
        <w:gridCol w:w="275"/>
        <w:gridCol w:w="665"/>
        <w:gridCol w:w="475"/>
        <w:gridCol w:w="465"/>
        <w:gridCol w:w="90"/>
        <w:gridCol w:w="240"/>
        <w:gridCol w:w="270"/>
        <w:gridCol w:w="340"/>
        <w:gridCol w:w="200"/>
        <w:gridCol w:w="630"/>
        <w:gridCol w:w="110"/>
        <w:gridCol w:w="400"/>
        <w:gridCol w:w="540"/>
        <w:gridCol w:w="940"/>
        <w:gridCol w:w="940"/>
        <w:gridCol w:w="9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7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附表5</w:t>
            </w:r>
          </w:p>
        </w:tc>
        <w:tc>
          <w:tcPr>
            <w:tcW w:w="980"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635"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020"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020"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035"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095"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885"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140"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555"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240"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270"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540"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630"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510"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3360" w:type="dxa"/>
            <w:gridSpan w:val="4"/>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shd w:val="clear"/>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表2-1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6185" w:type="dxa"/>
            <w:gridSpan w:val="2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3885" w:type="dxa"/>
            <w:gridSpan w:val="4"/>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1020"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020" w:type="dxa"/>
            <w:gridSpan w:val="2"/>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035" w:type="dxa"/>
            <w:gridSpan w:val="2"/>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095" w:type="dxa"/>
            <w:gridSpan w:val="2"/>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885" w:type="dxa"/>
            <w:gridSpan w:val="2"/>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140" w:type="dxa"/>
            <w:gridSpan w:val="2"/>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555" w:type="dxa"/>
            <w:gridSpan w:val="2"/>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240"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270"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540" w:type="dxa"/>
            <w:gridSpan w:val="2"/>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630" w:type="dxa"/>
            <w:tcBorders>
              <w:top w:val="single" w:color="FFFFFF" w:sz="4" w:space="0"/>
              <w:left w:val="single" w:color="FFFFFF" w:sz="4" w:space="0"/>
              <w:bottom w:val="nil"/>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3870" w:type="dxa"/>
            <w:gridSpan w:val="6"/>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38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300" w:type="dxa"/>
            <w:gridSpan w:val="2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2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9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6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0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282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282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2820"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c>
          <w:tcPr>
            <w:tcW w:w="28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上年应返还额度结转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9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6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10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9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94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本表无数据</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bl>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p>
      <w:pPr>
        <w:keepNext w:val="0"/>
        <w:keepLines w:val="0"/>
        <w:pageBreakBefore w:val="0"/>
        <w:widowControl w:val="0"/>
        <w:shd w:val="clear"/>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11"/>
        <w:tblW w:w="1356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9"/>
        <w:gridCol w:w="591"/>
        <w:gridCol w:w="665"/>
        <w:gridCol w:w="1776"/>
        <w:gridCol w:w="4293"/>
        <w:gridCol w:w="1212"/>
        <w:gridCol w:w="1988"/>
        <w:gridCol w:w="22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33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附表6</w:t>
            </w:r>
          </w:p>
        </w:tc>
        <w:tc>
          <w:tcPr>
            <w:tcW w:w="665"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p>
        </w:tc>
        <w:tc>
          <w:tcPr>
            <w:tcW w:w="1776" w:type="dxa"/>
            <w:tcBorders>
              <w:top w:val="nil"/>
              <w:left w:val="nil"/>
              <w:bottom w:val="nil"/>
              <w:right w:val="nil"/>
            </w:tcBorders>
            <w:shd w:val="clear" w:color="auto" w:fill="auto"/>
            <w:vAlign w:val="center"/>
          </w:tcPr>
          <w:p>
            <w:pPr>
              <w:shd w:val="clear"/>
              <w:rPr>
                <w:rFonts w:hint="eastAsia" w:ascii="黑体" w:hAnsi="黑体" w:eastAsia="黑体" w:cs="黑体"/>
                <w:i w:val="0"/>
                <w:iCs w:val="0"/>
                <w:color w:val="000000"/>
                <w:sz w:val="18"/>
                <w:szCs w:val="18"/>
                <w:u w:val="none"/>
              </w:rPr>
            </w:pPr>
          </w:p>
        </w:tc>
        <w:tc>
          <w:tcPr>
            <w:tcW w:w="4293" w:type="dxa"/>
            <w:tcBorders>
              <w:top w:val="nil"/>
              <w:left w:val="nil"/>
              <w:bottom w:val="nil"/>
              <w:right w:val="nil"/>
            </w:tcBorders>
            <w:shd w:val="clear" w:color="auto" w:fill="auto"/>
            <w:vAlign w:val="center"/>
          </w:tcPr>
          <w:p>
            <w:pPr>
              <w:shd w:val="clear"/>
              <w:rPr>
                <w:rFonts w:hint="default" w:ascii="黑体" w:hAnsi="黑体" w:eastAsia="黑体" w:cs="黑体"/>
                <w:i w:val="0"/>
                <w:iCs w:val="0"/>
                <w:color w:val="000000"/>
                <w:sz w:val="18"/>
                <w:szCs w:val="18"/>
                <w:u w:val="none"/>
              </w:rPr>
            </w:pPr>
          </w:p>
        </w:tc>
        <w:tc>
          <w:tcPr>
            <w:tcW w:w="5496"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13560"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8064" w:type="dxa"/>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1212"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1988" w:type="dxa"/>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2296"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8" w:hRule="atLeast"/>
        </w:trPr>
        <w:tc>
          <w:tcPr>
            <w:tcW w:w="806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1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9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当年财政拨款安排</w:t>
            </w:r>
          </w:p>
        </w:tc>
        <w:tc>
          <w:tcPr>
            <w:tcW w:w="229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8" w:hRule="atLeast"/>
        </w:trPr>
        <w:tc>
          <w:tcPr>
            <w:tcW w:w="19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29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21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9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22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8" w:hRule="atLeast"/>
        </w:trPr>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429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21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9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22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1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42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sz w:val="22"/>
                <w:szCs w:val="22"/>
              </w:rPr>
            </w:pPr>
            <w:r>
              <w:rPr>
                <w:rFonts w:hint="eastAsia" w:ascii="宋体" w:hAnsi="宋体" w:eastAsia="宋体" w:cs="宋体"/>
                <w:b/>
                <w:bCs/>
                <w:sz w:val="22"/>
                <w:szCs w:val="22"/>
              </w:rPr>
              <w:t>567.97</w:t>
            </w:r>
          </w:p>
        </w:tc>
        <w:tc>
          <w:tcPr>
            <w:tcW w:w="1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b/>
                <w:bCs/>
                <w:sz w:val="22"/>
                <w:szCs w:val="22"/>
              </w:rPr>
              <w:t>567.97</w:t>
            </w:r>
          </w:p>
        </w:tc>
        <w:tc>
          <w:tcPr>
            <w:tcW w:w="22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1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42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sz w:val="22"/>
                <w:szCs w:val="22"/>
              </w:rPr>
            </w:pPr>
            <w:r>
              <w:rPr>
                <w:rFonts w:hint="eastAsia" w:ascii="宋体" w:hAnsi="宋体" w:eastAsia="宋体" w:cs="宋体"/>
                <w:sz w:val="22"/>
                <w:szCs w:val="22"/>
              </w:rPr>
              <w:t>567.97</w:t>
            </w:r>
          </w:p>
        </w:tc>
        <w:tc>
          <w:tcPr>
            <w:tcW w:w="1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567.97</w:t>
            </w:r>
          </w:p>
        </w:tc>
        <w:tc>
          <w:tcPr>
            <w:tcW w:w="22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1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p>
        </w:tc>
        <w:tc>
          <w:tcPr>
            <w:tcW w:w="42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rPr>
              <w:t>广元市文化广播电视和旅游局部门</w:t>
            </w: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sz w:val="22"/>
                <w:szCs w:val="22"/>
              </w:rPr>
            </w:pPr>
            <w:r>
              <w:rPr>
                <w:rFonts w:hint="eastAsia" w:ascii="宋体" w:hAnsi="宋体" w:eastAsia="宋体" w:cs="宋体"/>
                <w:sz w:val="22"/>
                <w:szCs w:val="22"/>
              </w:rPr>
              <w:t>567.97</w:t>
            </w:r>
          </w:p>
        </w:tc>
        <w:tc>
          <w:tcPr>
            <w:tcW w:w="1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567.97</w:t>
            </w:r>
          </w:p>
        </w:tc>
        <w:tc>
          <w:tcPr>
            <w:tcW w:w="22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sz w:val="22"/>
                <w:szCs w:val="22"/>
              </w:rPr>
              <w:t>207</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lang w:val="en-US" w:eastAsia="zh-CN"/>
              </w:rPr>
            </w:pPr>
            <w:r>
              <w:rPr>
                <w:rFonts w:hint="eastAsia" w:ascii="宋体" w:hAnsi="宋体" w:eastAsia="宋体" w:cs="宋体"/>
                <w:sz w:val="22"/>
                <w:szCs w:val="22"/>
              </w:rPr>
              <w:t>01</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rPr>
            </w:pPr>
            <w:r>
              <w:rPr>
                <w:rFonts w:hint="eastAsia" w:ascii="宋体" w:hAnsi="宋体" w:eastAsia="宋体" w:cs="宋体"/>
                <w:sz w:val="22"/>
                <w:szCs w:val="22"/>
              </w:rPr>
              <w:t>04</w:t>
            </w:r>
          </w:p>
        </w:tc>
        <w:tc>
          <w:tcPr>
            <w:tcW w:w="1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rPr>
            </w:pPr>
            <w:r>
              <w:rPr>
                <w:rFonts w:hint="eastAsia" w:ascii="宋体" w:hAnsi="宋体" w:eastAsia="宋体" w:cs="宋体"/>
                <w:sz w:val="22"/>
                <w:szCs w:val="22"/>
              </w:rPr>
              <w:t>325</w:t>
            </w:r>
          </w:p>
        </w:tc>
        <w:tc>
          <w:tcPr>
            <w:tcW w:w="42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b w:val="0"/>
                <w:bCs w:val="0"/>
                <w:lang w:val="en-US" w:eastAsia="zh-CN"/>
              </w:rPr>
              <w:t xml:space="preserve"> </w:t>
            </w:r>
            <w:r>
              <w:rPr>
                <w:rFonts w:hint="eastAsia"/>
              </w:rPr>
              <w:t>图书馆</w:t>
            </w: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sz w:val="22"/>
                <w:szCs w:val="22"/>
              </w:rPr>
            </w:pPr>
            <w:r>
              <w:rPr>
                <w:rFonts w:hint="eastAsia" w:ascii="宋体" w:hAnsi="宋体" w:eastAsia="宋体" w:cs="宋体"/>
                <w:sz w:val="22"/>
                <w:szCs w:val="22"/>
              </w:rPr>
              <w:t>466.70</w:t>
            </w:r>
          </w:p>
        </w:tc>
        <w:tc>
          <w:tcPr>
            <w:tcW w:w="1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466.70</w:t>
            </w:r>
          </w:p>
        </w:tc>
        <w:tc>
          <w:tcPr>
            <w:tcW w:w="22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sz w:val="22"/>
                <w:szCs w:val="22"/>
              </w:rPr>
              <w:t>208</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lang w:val="en-US" w:eastAsia="zh-CN"/>
              </w:rPr>
            </w:pPr>
            <w:r>
              <w:rPr>
                <w:rFonts w:hint="eastAsia" w:ascii="宋体" w:hAnsi="宋体" w:eastAsia="宋体" w:cs="宋体"/>
                <w:sz w:val="22"/>
                <w:szCs w:val="22"/>
              </w:rPr>
              <w:t>05</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rPr>
            </w:pPr>
            <w:r>
              <w:rPr>
                <w:rFonts w:hint="eastAsia" w:ascii="宋体" w:hAnsi="宋体" w:eastAsia="宋体" w:cs="宋体"/>
                <w:sz w:val="22"/>
                <w:szCs w:val="22"/>
              </w:rPr>
              <w:t>05</w:t>
            </w:r>
          </w:p>
        </w:tc>
        <w:tc>
          <w:tcPr>
            <w:tcW w:w="1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rPr>
            </w:pPr>
            <w:r>
              <w:rPr>
                <w:rFonts w:hint="eastAsia" w:ascii="宋体" w:hAnsi="宋体" w:eastAsia="宋体" w:cs="宋体"/>
                <w:sz w:val="22"/>
                <w:szCs w:val="22"/>
              </w:rPr>
              <w:t>325</w:t>
            </w:r>
          </w:p>
        </w:tc>
        <w:tc>
          <w:tcPr>
            <w:tcW w:w="42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b w:val="0"/>
                <w:bCs w:val="0"/>
                <w:lang w:val="en-US" w:eastAsia="zh-CN"/>
              </w:rPr>
              <w:t xml:space="preserve"> </w:t>
            </w:r>
            <w:r>
              <w:rPr>
                <w:rFonts w:hint="eastAsia"/>
              </w:rPr>
              <w:t>机关事业单位基本养老保险缴费支出</w:t>
            </w: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sz w:val="22"/>
                <w:szCs w:val="22"/>
              </w:rPr>
            </w:pPr>
            <w:r>
              <w:rPr>
                <w:rFonts w:hint="eastAsia" w:ascii="宋体" w:hAnsi="宋体" w:eastAsia="宋体" w:cs="宋体"/>
                <w:sz w:val="22"/>
                <w:szCs w:val="22"/>
              </w:rPr>
              <w:t>45.40</w:t>
            </w:r>
          </w:p>
        </w:tc>
        <w:tc>
          <w:tcPr>
            <w:tcW w:w="1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45.40</w:t>
            </w:r>
          </w:p>
        </w:tc>
        <w:tc>
          <w:tcPr>
            <w:tcW w:w="22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sz w:val="22"/>
                <w:szCs w:val="22"/>
              </w:rPr>
              <w:t>208</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lang w:val="en-US" w:eastAsia="zh-CN"/>
              </w:rPr>
            </w:pPr>
            <w:r>
              <w:rPr>
                <w:rFonts w:hint="eastAsia" w:ascii="宋体" w:hAnsi="宋体" w:eastAsia="宋体" w:cs="宋体"/>
                <w:sz w:val="22"/>
                <w:szCs w:val="22"/>
              </w:rPr>
              <w:t>99</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rPr>
            </w:pPr>
            <w:r>
              <w:rPr>
                <w:rFonts w:hint="eastAsia" w:ascii="宋体" w:hAnsi="宋体" w:eastAsia="宋体" w:cs="宋体"/>
                <w:sz w:val="22"/>
                <w:szCs w:val="22"/>
              </w:rPr>
              <w:t>99</w:t>
            </w:r>
          </w:p>
        </w:tc>
        <w:tc>
          <w:tcPr>
            <w:tcW w:w="1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rPr>
            </w:pPr>
            <w:r>
              <w:rPr>
                <w:rFonts w:hint="eastAsia" w:ascii="宋体" w:hAnsi="宋体" w:eastAsia="宋体" w:cs="宋体"/>
                <w:sz w:val="22"/>
                <w:szCs w:val="22"/>
              </w:rPr>
              <w:t>325</w:t>
            </w:r>
          </w:p>
        </w:tc>
        <w:tc>
          <w:tcPr>
            <w:tcW w:w="42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b w:val="0"/>
                <w:bCs w:val="0"/>
                <w:lang w:val="en-US" w:eastAsia="zh-CN"/>
              </w:rPr>
              <w:t xml:space="preserve"> </w:t>
            </w:r>
            <w:r>
              <w:rPr>
                <w:rFonts w:hint="eastAsia"/>
              </w:rPr>
              <w:t>其他社会保障和就业支出</w:t>
            </w: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sz w:val="22"/>
                <w:szCs w:val="22"/>
              </w:rPr>
            </w:pPr>
            <w:r>
              <w:rPr>
                <w:rFonts w:hint="eastAsia" w:ascii="宋体" w:hAnsi="宋体" w:eastAsia="宋体" w:cs="宋体"/>
                <w:sz w:val="22"/>
                <w:szCs w:val="22"/>
              </w:rPr>
              <w:t>1.75</w:t>
            </w:r>
          </w:p>
        </w:tc>
        <w:tc>
          <w:tcPr>
            <w:tcW w:w="1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1.75</w:t>
            </w:r>
          </w:p>
        </w:tc>
        <w:tc>
          <w:tcPr>
            <w:tcW w:w="22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sz w:val="22"/>
                <w:szCs w:val="22"/>
              </w:rPr>
              <w:t>210</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lang w:val="en-US" w:eastAsia="zh-CN"/>
              </w:rPr>
            </w:pPr>
            <w:r>
              <w:rPr>
                <w:rFonts w:hint="eastAsia" w:ascii="宋体" w:hAnsi="宋体" w:eastAsia="宋体" w:cs="宋体"/>
                <w:sz w:val="22"/>
                <w:szCs w:val="22"/>
              </w:rPr>
              <w:t>11</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rPr>
            </w:pPr>
            <w:r>
              <w:rPr>
                <w:rFonts w:hint="eastAsia" w:ascii="宋体" w:hAnsi="宋体" w:eastAsia="宋体" w:cs="宋体"/>
                <w:sz w:val="22"/>
                <w:szCs w:val="22"/>
              </w:rPr>
              <w:t>02</w:t>
            </w:r>
          </w:p>
        </w:tc>
        <w:tc>
          <w:tcPr>
            <w:tcW w:w="1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rPr>
            </w:pPr>
            <w:r>
              <w:rPr>
                <w:rFonts w:hint="eastAsia" w:ascii="宋体" w:hAnsi="宋体" w:eastAsia="宋体" w:cs="宋体"/>
                <w:sz w:val="22"/>
                <w:szCs w:val="22"/>
              </w:rPr>
              <w:t>325</w:t>
            </w:r>
          </w:p>
        </w:tc>
        <w:tc>
          <w:tcPr>
            <w:tcW w:w="42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b w:val="0"/>
                <w:bCs w:val="0"/>
                <w:lang w:val="en-US" w:eastAsia="zh-CN"/>
              </w:rPr>
              <w:t xml:space="preserve"> </w:t>
            </w:r>
            <w:r>
              <w:rPr>
                <w:rFonts w:hint="eastAsia"/>
              </w:rPr>
              <w:t>事业单位医疗</w:t>
            </w: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sz w:val="22"/>
                <w:szCs w:val="22"/>
              </w:rPr>
            </w:pPr>
            <w:r>
              <w:rPr>
                <w:rFonts w:hint="eastAsia" w:ascii="宋体" w:hAnsi="宋体" w:eastAsia="宋体" w:cs="宋体"/>
                <w:sz w:val="22"/>
                <w:szCs w:val="22"/>
              </w:rPr>
              <w:t>14.74</w:t>
            </w:r>
          </w:p>
        </w:tc>
        <w:tc>
          <w:tcPr>
            <w:tcW w:w="1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14.74</w:t>
            </w:r>
          </w:p>
        </w:tc>
        <w:tc>
          <w:tcPr>
            <w:tcW w:w="22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 w:hRule="atLeast"/>
        </w:trPr>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sz w:val="22"/>
                <w:szCs w:val="22"/>
              </w:rPr>
              <w:t>221</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lang w:val="en-US" w:eastAsia="zh-CN"/>
              </w:rPr>
            </w:pPr>
            <w:r>
              <w:rPr>
                <w:rFonts w:hint="eastAsia" w:ascii="宋体" w:hAnsi="宋体" w:eastAsia="宋体" w:cs="宋体"/>
                <w:sz w:val="22"/>
                <w:szCs w:val="22"/>
              </w:rPr>
              <w:t>02</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rPr>
            </w:pPr>
            <w:r>
              <w:rPr>
                <w:rFonts w:hint="eastAsia" w:ascii="宋体" w:hAnsi="宋体" w:eastAsia="宋体" w:cs="宋体"/>
                <w:sz w:val="22"/>
                <w:szCs w:val="22"/>
              </w:rPr>
              <w:t>01</w:t>
            </w:r>
          </w:p>
        </w:tc>
        <w:tc>
          <w:tcPr>
            <w:tcW w:w="1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sz w:val="22"/>
                <w:szCs w:val="22"/>
              </w:rPr>
            </w:pPr>
            <w:r>
              <w:rPr>
                <w:rFonts w:hint="eastAsia" w:ascii="宋体" w:hAnsi="宋体" w:eastAsia="宋体" w:cs="宋体"/>
                <w:sz w:val="22"/>
                <w:szCs w:val="22"/>
              </w:rPr>
              <w:t>325</w:t>
            </w:r>
          </w:p>
        </w:tc>
        <w:tc>
          <w:tcPr>
            <w:tcW w:w="42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b w:val="0"/>
                <w:bCs w:val="0"/>
                <w:lang w:val="en-US" w:eastAsia="zh-CN"/>
              </w:rPr>
              <w:t xml:space="preserve"> </w:t>
            </w:r>
            <w:r>
              <w:rPr>
                <w:rFonts w:hint="eastAsia"/>
              </w:rPr>
              <w:t>住房公积金</w:t>
            </w: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sz w:val="22"/>
                <w:szCs w:val="22"/>
              </w:rPr>
            </w:pPr>
            <w:r>
              <w:rPr>
                <w:rFonts w:hint="eastAsia" w:ascii="宋体" w:hAnsi="宋体" w:eastAsia="宋体" w:cs="宋体"/>
                <w:sz w:val="22"/>
                <w:szCs w:val="22"/>
              </w:rPr>
              <w:t>39.38</w:t>
            </w:r>
          </w:p>
        </w:tc>
        <w:tc>
          <w:tcPr>
            <w:tcW w:w="1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39.38</w:t>
            </w:r>
          </w:p>
        </w:tc>
        <w:tc>
          <w:tcPr>
            <w:tcW w:w="22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bl>
    <w:p>
      <w:pPr>
        <w:shd w:val="clea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11"/>
        <w:tblW w:w="1401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39"/>
        <w:gridCol w:w="591"/>
        <w:gridCol w:w="2630"/>
        <w:gridCol w:w="4426"/>
        <w:gridCol w:w="1877"/>
        <w:gridCol w:w="1877"/>
        <w:gridCol w:w="18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33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附表7</w:t>
            </w:r>
          </w:p>
        </w:tc>
        <w:tc>
          <w:tcPr>
            <w:tcW w:w="2630"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442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877"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1877"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1877"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7"/>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一般公共预算基本支出预算表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4"/>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8"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人员经费</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b/>
                <w:bCs/>
                <w:sz w:val="22"/>
                <w:szCs w:val="22"/>
              </w:rPr>
              <w:t>534.95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b/>
                <w:bCs/>
                <w:sz w:val="22"/>
                <w:szCs w:val="22"/>
              </w:rPr>
              <w:t>485.78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b/>
                <w:bCs/>
                <w:sz w:val="22"/>
                <w:szCs w:val="22"/>
              </w:rPr>
              <w:t>49.17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534.95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485.78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49.17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325901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rPr>
              <w:t>广元市图书馆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534.95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485.78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49.17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lang w:eastAsia="zh-CN"/>
              </w:rPr>
              <w:t xml:space="preserve"> </w:t>
            </w:r>
            <w:r>
              <w:rPr>
                <w:rFonts w:hint="eastAsia"/>
              </w:rPr>
              <w:t>工资福利支出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415.22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415.22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30101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lang w:eastAsia="zh-CN"/>
              </w:rPr>
              <w:t xml:space="preserve">  </w:t>
            </w:r>
            <w:r>
              <w:rPr>
                <w:rFonts w:hint="eastAsia"/>
              </w:rPr>
              <w:t>基本工资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117.88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117.88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3010101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lang w:eastAsia="zh-CN"/>
              </w:rPr>
              <w:t xml:space="preserve">   </w:t>
            </w:r>
            <w:r>
              <w:rPr>
                <w:rFonts w:hint="eastAsia"/>
              </w:rPr>
              <w:t>晋级工资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1.40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1.40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3010102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lang w:eastAsia="zh-CN"/>
              </w:rPr>
              <w:t xml:space="preserve">   </w:t>
            </w:r>
            <w:r>
              <w:rPr>
                <w:rFonts w:hint="eastAsia"/>
              </w:rPr>
              <w:t>基本工资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116.47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116.47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30102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lang w:eastAsia="zh-CN"/>
              </w:rPr>
              <w:t xml:space="preserve">  </w:t>
            </w:r>
            <w:r>
              <w:rPr>
                <w:rFonts w:hint="eastAsia"/>
              </w:rPr>
              <w:t>津贴补贴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10.50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eastAsia="宋体" w:cs="宋体"/>
                <w:sz w:val="22"/>
                <w:szCs w:val="22"/>
              </w:rPr>
              <w:t>10.50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3010206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其他津贴补贴（含工改、审计等）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10.50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10.50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奖金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108.04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108.04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3010303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基础绩效奖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87.24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87.24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301030502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事业人员年度考核奖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20.80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20.80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绩效工资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77.54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77.54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机关事业单位基本养老保险缴费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45.40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45.40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职工基本医疗保险缴费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14.74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14.74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其他社会保障缴费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3011201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失业保险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3011202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工伤保险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30113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住房公积金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39.38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39.38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商品和服务支出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49.17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49.17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办公费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印刷费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手续费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水费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电费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邮电费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物业管理费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差旅费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6.00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维修（护）费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租赁费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会议费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培训费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公务接待费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劳务费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委托业务费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0.24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工会经费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2.36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2.36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福利费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7.07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3022901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福利费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3.57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3.57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3022902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食堂补助经费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3.50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3.50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其他交通费用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其他商品和服务支出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11.88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11.88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3029901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党建经费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7.96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7.96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3029902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退休人员活动经费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1.52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3029903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食堂补助经费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3029999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其他商品和服务支出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1.40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对个人和家庭的补助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70.56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70.56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30305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生活补助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70.56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70.56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303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r>
              <w:rPr>
                <w:rFonts w:hint="eastAsia" w:ascii="宋体" w:hAnsi="宋体" w:eastAsia="宋体" w:cs="宋体"/>
                <w:sz w:val="22"/>
                <w:szCs w:val="22"/>
              </w:rPr>
              <w:t>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sz w:val="22"/>
                <w:szCs w:val="22"/>
              </w:rPr>
              <w:t>3030501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lang w:eastAsia="zh-CN"/>
              </w:rPr>
              <w:t xml:space="preserve">   </w:t>
            </w:r>
            <w:r>
              <w:rPr>
                <w:rFonts w:hint="eastAsia"/>
              </w:rPr>
              <w:t>退休人员绩效补助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70.56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70.56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r>
              <w:rPr>
                <w:rFonts w:hint="eastAsia" w:ascii="宋体" w:hAnsi="宋体" w:eastAsia="宋体" w:cs="宋体"/>
                <w:sz w:val="22"/>
                <w:szCs w:val="22"/>
              </w:rPr>
              <w:t>49.17</w:t>
            </w:r>
          </w:p>
        </w:tc>
      </w:tr>
    </w:tbl>
    <w:p>
      <w:pPr>
        <w:shd w:val="clea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11"/>
        <w:tblW w:w="1315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7"/>
        <w:gridCol w:w="635"/>
        <w:gridCol w:w="716"/>
        <w:gridCol w:w="2876"/>
        <w:gridCol w:w="5252"/>
        <w:gridCol w:w="28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432"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附表8</w:t>
            </w:r>
          </w:p>
        </w:tc>
        <w:tc>
          <w:tcPr>
            <w:tcW w:w="71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p>
        </w:tc>
        <w:tc>
          <w:tcPr>
            <w:tcW w:w="2876" w:type="dxa"/>
            <w:tcBorders>
              <w:top w:val="nil"/>
              <w:left w:val="nil"/>
              <w:bottom w:val="nil"/>
              <w:right w:val="nil"/>
            </w:tcBorders>
            <w:shd w:val="clear" w:color="auto" w:fill="auto"/>
            <w:vAlign w:val="center"/>
          </w:tcPr>
          <w:p>
            <w:pPr>
              <w:shd w:val="clear"/>
              <w:rPr>
                <w:rFonts w:hint="eastAsia" w:ascii="黑体" w:hAnsi="黑体" w:eastAsia="黑体" w:cs="黑体"/>
                <w:i w:val="0"/>
                <w:iCs w:val="0"/>
                <w:color w:val="000000"/>
                <w:sz w:val="18"/>
                <w:szCs w:val="18"/>
                <w:u w:val="none"/>
              </w:rPr>
            </w:pPr>
          </w:p>
        </w:tc>
        <w:tc>
          <w:tcPr>
            <w:tcW w:w="5252" w:type="dxa"/>
            <w:tcBorders>
              <w:top w:val="nil"/>
              <w:left w:val="nil"/>
              <w:bottom w:val="nil"/>
              <w:right w:val="nil"/>
            </w:tcBorders>
            <w:shd w:val="clear" w:color="auto" w:fill="auto"/>
            <w:vAlign w:val="center"/>
          </w:tcPr>
          <w:p>
            <w:pPr>
              <w:shd w:val="clear"/>
              <w:rPr>
                <w:rFonts w:hint="default" w:ascii="黑体" w:hAnsi="黑体" w:eastAsia="黑体" w:cs="黑体"/>
                <w:i w:val="0"/>
                <w:iCs w:val="0"/>
                <w:color w:val="000000"/>
                <w:sz w:val="18"/>
                <w:szCs w:val="18"/>
                <w:u w:val="none"/>
              </w:rPr>
            </w:pPr>
          </w:p>
        </w:tc>
        <w:tc>
          <w:tcPr>
            <w:tcW w:w="287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6"/>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一般公共预算项目支出预算表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33.02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52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rPr>
              <w:t>广元市图书馆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33.02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52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lang w:eastAsia="zh-CN"/>
              </w:rPr>
            </w:pPr>
            <w:r>
              <w:rPr>
                <w:rFonts w:hint="eastAsia"/>
                <w:lang w:eastAsia="zh-CN"/>
              </w:rPr>
              <w:t xml:space="preserve"> </w:t>
            </w:r>
            <w:r>
              <w:rPr>
                <w:rFonts w:hint="eastAsia"/>
                <w:lang w:val="en-US" w:eastAsia="zh-CN"/>
              </w:rPr>
              <w:t>图书馆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33.02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52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lang w:eastAsia="zh-CN"/>
              </w:rPr>
              <w:t xml:space="preserve">  </w:t>
            </w:r>
            <w:r>
              <w:rPr>
                <w:rFonts w:hint="eastAsia"/>
              </w:rPr>
              <w:t>广元市图书馆免费开放地方配套资金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7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207</w:t>
            </w:r>
          </w:p>
        </w:tc>
        <w:tc>
          <w:tcPr>
            <w:tcW w:w="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01</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04</w:t>
            </w:r>
          </w:p>
        </w:tc>
        <w:tc>
          <w:tcPr>
            <w:tcW w:w="2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325901</w:t>
            </w:r>
          </w:p>
        </w:tc>
        <w:tc>
          <w:tcPr>
            <w:tcW w:w="52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b/>
                <w:bCs/>
                <w:i w:val="0"/>
                <w:iCs w:val="0"/>
                <w:color w:val="000000"/>
                <w:sz w:val="22"/>
                <w:szCs w:val="22"/>
                <w:u w:val="none"/>
              </w:rPr>
            </w:pPr>
            <w:r>
              <w:rPr>
                <w:rFonts w:hint="eastAsia"/>
                <w:lang w:eastAsia="zh-CN"/>
              </w:rPr>
              <w:t xml:space="preserve">  </w:t>
            </w:r>
            <w:r>
              <w:rPr>
                <w:rFonts w:hint="eastAsia"/>
              </w:rPr>
              <w:t>广元市图书馆文献资料购置费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23.02</w:t>
            </w:r>
          </w:p>
        </w:tc>
      </w:tr>
    </w:tbl>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11"/>
        <w:tblW w:w="1395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83"/>
        <w:gridCol w:w="2964"/>
        <w:gridCol w:w="1466"/>
        <w:gridCol w:w="1496"/>
        <w:gridCol w:w="1466"/>
        <w:gridCol w:w="1763"/>
        <w:gridCol w:w="1763"/>
        <w:gridCol w:w="1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83"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附表9</w:t>
            </w:r>
          </w:p>
        </w:tc>
        <w:tc>
          <w:tcPr>
            <w:tcW w:w="2964" w:type="dxa"/>
            <w:tcBorders>
              <w:top w:val="nil"/>
              <w:left w:val="nil"/>
              <w:bottom w:val="nil"/>
              <w:right w:val="nil"/>
            </w:tcBorders>
            <w:shd w:val="clear" w:color="auto" w:fill="auto"/>
            <w:vAlign w:val="center"/>
          </w:tcPr>
          <w:p>
            <w:pPr>
              <w:shd w:val="clear"/>
              <w:rPr>
                <w:rFonts w:hint="eastAsia" w:ascii="黑体" w:hAnsi="黑体" w:eastAsia="黑体" w:cs="黑体"/>
                <w:i w:val="0"/>
                <w:iCs w:val="0"/>
                <w:color w:val="000000"/>
                <w:sz w:val="18"/>
                <w:szCs w:val="18"/>
                <w:u w:val="none"/>
              </w:rPr>
            </w:pPr>
          </w:p>
        </w:tc>
        <w:tc>
          <w:tcPr>
            <w:tcW w:w="146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49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46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763"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763"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75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一般公共预算“三公”经费支出预算表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49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费用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4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0.12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sz w:val="22"/>
                <w:szCs w:val="22"/>
                <w:u w:val="none"/>
                <w:lang w:val="en-US" w:eastAsia="zh-CN"/>
              </w:rPr>
              <w:t>0.12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广元市图书馆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0.12</w:t>
            </w:r>
          </w:p>
        </w:tc>
      </w:tr>
    </w:tbl>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11"/>
        <w:tblW w:w="1371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5"/>
        <w:gridCol w:w="665"/>
        <w:gridCol w:w="665"/>
        <w:gridCol w:w="1834"/>
        <w:gridCol w:w="4383"/>
        <w:gridCol w:w="1834"/>
        <w:gridCol w:w="1835"/>
        <w:gridCol w:w="183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33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附表10</w:t>
            </w:r>
          </w:p>
        </w:tc>
        <w:tc>
          <w:tcPr>
            <w:tcW w:w="665"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p>
        </w:tc>
        <w:tc>
          <w:tcPr>
            <w:tcW w:w="1834" w:type="dxa"/>
            <w:tcBorders>
              <w:top w:val="nil"/>
              <w:left w:val="nil"/>
              <w:bottom w:val="nil"/>
              <w:right w:val="nil"/>
            </w:tcBorders>
            <w:shd w:val="clear" w:color="auto" w:fill="auto"/>
            <w:vAlign w:val="center"/>
          </w:tcPr>
          <w:p>
            <w:pPr>
              <w:shd w:val="clear"/>
              <w:rPr>
                <w:rFonts w:hint="eastAsia" w:ascii="黑体" w:hAnsi="黑体" w:eastAsia="黑体" w:cs="黑体"/>
                <w:i w:val="0"/>
                <w:iCs w:val="0"/>
                <w:color w:val="000000"/>
                <w:sz w:val="18"/>
                <w:szCs w:val="18"/>
                <w:u w:val="none"/>
              </w:rPr>
            </w:pPr>
          </w:p>
        </w:tc>
        <w:tc>
          <w:tcPr>
            <w:tcW w:w="4383" w:type="dxa"/>
            <w:tcBorders>
              <w:top w:val="nil"/>
              <w:left w:val="nil"/>
              <w:bottom w:val="nil"/>
              <w:right w:val="nil"/>
            </w:tcBorders>
            <w:shd w:val="clear" w:color="auto" w:fill="auto"/>
            <w:vAlign w:val="center"/>
          </w:tcPr>
          <w:p>
            <w:pPr>
              <w:shd w:val="clear"/>
              <w:rPr>
                <w:rFonts w:hint="default" w:ascii="黑体" w:hAnsi="黑体" w:eastAsia="黑体" w:cs="黑体"/>
                <w:i w:val="0"/>
                <w:iCs w:val="0"/>
                <w:color w:val="000000"/>
                <w:sz w:val="18"/>
                <w:szCs w:val="18"/>
                <w:u w:val="none"/>
              </w:rPr>
            </w:pPr>
          </w:p>
        </w:tc>
        <w:tc>
          <w:tcPr>
            <w:tcW w:w="1834"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835"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83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3717"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 xml:space="preserve">政府性基金预算支出预算表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8212" w:type="dxa"/>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1834"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1835"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1836"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21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5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本年政府性基金预算支出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9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83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3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83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3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8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83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43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83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83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8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本表无数据</w:t>
            </w: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bl>
    <w:p>
      <w:pPr>
        <w:shd w:val="clear"/>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br w:type="page"/>
      </w:r>
    </w:p>
    <w:tbl>
      <w:tblPr>
        <w:tblStyle w:val="11"/>
        <w:tblW w:w="1393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23"/>
        <w:gridCol w:w="3021"/>
        <w:gridCol w:w="1424"/>
        <w:gridCol w:w="1459"/>
        <w:gridCol w:w="1424"/>
        <w:gridCol w:w="1763"/>
        <w:gridCol w:w="1763"/>
        <w:gridCol w:w="1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323"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附表11</w:t>
            </w:r>
          </w:p>
        </w:tc>
        <w:tc>
          <w:tcPr>
            <w:tcW w:w="3021" w:type="dxa"/>
            <w:tcBorders>
              <w:top w:val="nil"/>
              <w:left w:val="nil"/>
              <w:bottom w:val="nil"/>
              <w:right w:val="nil"/>
            </w:tcBorders>
            <w:shd w:val="clear" w:color="auto" w:fill="auto"/>
            <w:vAlign w:val="center"/>
          </w:tcPr>
          <w:p>
            <w:pPr>
              <w:shd w:val="clear"/>
              <w:rPr>
                <w:rFonts w:hint="eastAsia" w:ascii="黑体" w:hAnsi="黑体" w:eastAsia="黑体" w:cs="黑体"/>
                <w:i w:val="0"/>
                <w:iCs w:val="0"/>
                <w:color w:val="000000"/>
                <w:sz w:val="18"/>
                <w:szCs w:val="18"/>
                <w:u w:val="none"/>
              </w:rPr>
            </w:pPr>
          </w:p>
        </w:tc>
        <w:tc>
          <w:tcPr>
            <w:tcW w:w="1424"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459"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424"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763"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763"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756"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政府性基金预算“三公”经费支出预算表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shd w:val="clea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45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费用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45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本表无数据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bl>
    <w:p>
      <w:pPr>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br w:type="page"/>
      </w:r>
    </w:p>
    <w:tbl>
      <w:tblPr>
        <w:tblStyle w:val="11"/>
        <w:tblW w:w="1373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16"/>
        <w:gridCol w:w="716"/>
        <w:gridCol w:w="716"/>
        <w:gridCol w:w="1441"/>
        <w:gridCol w:w="4431"/>
        <w:gridCol w:w="1904"/>
        <w:gridCol w:w="1904"/>
        <w:gridCol w:w="190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432"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附表12</w:t>
            </w:r>
          </w:p>
        </w:tc>
        <w:tc>
          <w:tcPr>
            <w:tcW w:w="71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shd w:val="clear"/>
              <w:rPr>
                <w:rFonts w:hint="default" w:ascii="方正黑体简体" w:hAnsi="方正黑体简体" w:eastAsia="方正黑体简体" w:cs="方正黑体简体"/>
                <w:i w:val="0"/>
                <w:iCs w:val="0"/>
                <w:color w:val="000000"/>
                <w:sz w:val="24"/>
                <w:szCs w:val="24"/>
                <w:u w:val="none"/>
              </w:rPr>
            </w:pPr>
          </w:p>
        </w:tc>
        <w:tc>
          <w:tcPr>
            <w:tcW w:w="1441" w:type="dxa"/>
            <w:tcBorders>
              <w:top w:val="nil"/>
              <w:left w:val="nil"/>
              <w:bottom w:val="nil"/>
              <w:right w:val="nil"/>
            </w:tcBorders>
            <w:shd w:val="clear" w:color="auto" w:fill="auto"/>
            <w:vAlign w:val="center"/>
          </w:tcPr>
          <w:p>
            <w:pPr>
              <w:shd w:val="clear"/>
              <w:rPr>
                <w:rFonts w:hint="eastAsia" w:ascii="黑体" w:hAnsi="黑体" w:eastAsia="黑体" w:cs="黑体"/>
                <w:i w:val="0"/>
                <w:iCs w:val="0"/>
                <w:color w:val="000000"/>
                <w:sz w:val="18"/>
                <w:szCs w:val="18"/>
                <w:u w:val="none"/>
              </w:rPr>
            </w:pPr>
          </w:p>
        </w:tc>
        <w:tc>
          <w:tcPr>
            <w:tcW w:w="4431" w:type="dxa"/>
            <w:tcBorders>
              <w:top w:val="nil"/>
              <w:left w:val="nil"/>
              <w:bottom w:val="nil"/>
              <w:right w:val="nil"/>
            </w:tcBorders>
            <w:shd w:val="clear" w:color="auto" w:fill="auto"/>
            <w:vAlign w:val="center"/>
          </w:tcPr>
          <w:p>
            <w:pPr>
              <w:shd w:val="clear"/>
              <w:rPr>
                <w:rFonts w:hint="default" w:ascii="黑体" w:hAnsi="黑体" w:eastAsia="黑体" w:cs="黑体"/>
                <w:i w:val="0"/>
                <w:iCs w:val="0"/>
                <w:color w:val="000000"/>
                <w:sz w:val="18"/>
                <w:szCs w:val="18"/>
                <w:u w:val="none"/>
              </w:rPr>
            </w:pPr>
          </w:p>
        </w:tc>
        <w:tc>
          <w:tcPr>
            <w:tcW w:w="1904"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904"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rPr>
                <w:rFonts w:hint="eastAsia" w:ascii="宋体" w:hAnsi="宋体" w:eastAsia="宋体" w:cs="宋体"/>
                <w:i w:val="0"/>
                <w:iCs w:val="0"/>
                <w:color w:val="000000"/>
                <w:sz w:val="18"/>
                <w:szCs w:val="18"/>
                <w:u w:val="none"/>
              </w:rPr>
            </w:pPr>
          </w:p>
        </w:tc>
        <w:tc>
          <w:tcPr>
            <w:tcW w:w="1904" w:type="dxa"/>
            <w:tcBorders>
              <w:top w:val="single" w:color="FFFFFF" w:sz="4" w:space="0"/>
              <w:left w:val="single" w:color="FFFFFF" w:sz="4" w:space="0"/>
              <w:bottom w:val="single" w:color="FFFFFF" w:sz="4" w:space="0"/>
              <w:right w:val="single" w:color="FFFFFF" w:sz="4" w:space="0"/>
            </w:tcBorders>
            <w:shd w:val="clear" w:color="auto" w:fill="auto"/>
            <w:vAlign w:val="center"/>
          </w:tcPr>
          <w:p>
            <w:pPr>
              <w:shd w:val="clea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3732"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国有资本经营预算支出预算表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8020" w:type="dxa"/>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left"/>
              <w:textAlignment w:val="center"/>
              <w:rPr>
                <w:rFonts w:hint="eastAsia" w:ascii="宋体" w:hAnsi="宋体" w:eastAsia="宋体" w:cs="宋体"/>
                <w:i w:val="0"/>
                <w:iCs w:val="0"/>
                <w:color w:val="000000"/>
                <w:sz w:val="22"/>
                <w:szCs w:val="22"/>
                <w:u w:val="none"/>
              </w:rPr>
            </w:pPr>
            <w:bookmarkStart w:id="6" w:name="_GoBack"/>
            <w:bookmarkEnd w:id="6"/>
          </w:p>
        </w:tc>
        <w:tc>
          <w:tcPr>
            <w:tcW w:w="1904"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1904" w:type="dxa"/>
            <w:tcBorders>
              <w:top w:val="single" w:color="FFFFFF" w:sz="4" w:space="0"/>
              <w:left w:val="single" w:color="FFFFFF" w:sz="4" w:space="0"/>
              <w:bottom w:val="nil"/>
              <w:right w:val="single" w:color="FFFFFF" w:sz="4" w:space="0"/>
            </w:tcBorders>
            <w:shd w:val="clear" w:color="auto" w:fill="auto"/>
            <w:noWrap/>
            <w:vAlign w:val="center"/>
          </w:tcPr>
          <w:p>
            <w:pPr>
              <w:shd w:val="clear"/>
              <w:rPr>
                <w:rFonts w:hint="eastAsia" w:ascii="宋体" w:hAnsi="宋体" w:eastAsia="宋体" w:cs="宋体"/>
                <w:i w:val="0"/>
                <w:iCs w:val="0"/>
                <w:color w:val="000000"/>
                <w:sz w:val="18"/>
                <w:szCs w:val="18"/>
                <w:u w:val="none"/>
              </w:rPr>
            </w:pPr>
          </w:p>
        </w:tc>
        <w:tc>
          <w:tcPr>
            <w:tcW w:w="1904"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02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71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本年国有资本经营预算支出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214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44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43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9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9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9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44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443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9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9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9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center"/>
              <w:rPr>
                <w:rFonts w:hint="eastAsia" w:ascii="宋体" w:hAnsi="宋体" w:eastAsia="宋体" w:cs="宋体"/>
                <w:b/>
                <w:bCs/>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hd w:val="clear"/>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14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r>
              <w:rPr>
                <w:rFonts w:hint="eastAsia" w:ascii="宋体" w:hAnsi="宋体" w:eastAsia="宋体" w:cs="宋体"/>
                <w:b/>
                <w:bCs/>
                <w:i w:val="0"/>
                <w:iCs w:val="0"/>
                <w:color w:val="000000"/>
                <w:sz w:val="22"/>
                <w:szCs w:val="22"/>
                <w:u w:val="none"/>
              </w:rPr>
              <w:t>本表无数据</w:t>
            </w: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lef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c>
          <w:tcPr>
            <w:tcW w:w="19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jc w:val="right"/>
              <w:rPr>
                <w:rFonts w:hint="eastAsia" w:ascii="宋体" w:hAnsi="宋体" w:eastAsia="宋体" w:cs="宋体"/>
                <w:i w:val="0"/>
                <w:iCs w:val="0"/>
                <w:color w:val="000000"/>
                <w:sz w:val="22"/>
                <w:szCs w:val="22"/>
                <w:u w:val="none"/>
              </w:rPr>
            </w:pPr>
          </w:p>
        </w:tc>
      </w:tr>
    </w:tbl>
    <w:p>
      <w:pPr>
        <w:shd w:val="clear"/>
        <w:jc w:val="left"/>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br w:type="page"/>
      </w:r>
    </w:p>
    <w:tbl>
      <w:tblPr>
        <w:tblStyle w:val="11"/>
        <w:tblW w:w="16650" w:type="dxa"/>
        <w:tblInd w:w="-141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49"/>
        <w:gridCol w:w="1275"/>
        <w:gridCol w:w="1021"/>
        <w:gridCol w:w="164"/>
        <w:gridCol w:w="586"/>
        <w:gridCol w:w="494"/>
        <w:gridCol w:w="1437"/>
        <w:gridCol w:w="424"/>
        <w:gridCol w:w="706"/>
        <w:gridCol w:w="329"/>
        <w:gridCol w:w="801"/>
        <w:gridCol w:w="234"/>
        <w:gridCol w:w="896"/>
        <w:gridCol w:w="469"/>
        <w:gridCol w:w="661"/>
        <w:gridCol w:w="1130"/>
        <w:gridCol w:w="1130"/>
        <w:gridCol w:w="259"/>
        <w:gridCol w:w="600"/>
        <w:gridCol w:w="271"/>
        <w:gridCol w:w="449"/>
        <w:gridCol w:w="681"/>
        <w:gridCol w:w="39"/>
        <w:gridCol w:w="465"/>
        <w:gridCol w:w="10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3345" w:type="dxa"/>
            <w:gridSpan w:val="3"/>
            <w:tcBorders>
              <w:top w:val="single" w:color="FFFFFF" w:sz="4" w:space="0"/>
              <w:left w:val="single" w:color="FFFFFF" w:sz="4" w:space="0"/>
              <w:bottom w:val="single" w:color="FFFFFF" w:sz="4" w:space="0"/>
              <w:right w:val="nil"/>
            </w:tcBorders>
            <w:shd w:val="clear" w:color="auto" w:fill="auto"/>
            <w:noWrap/>
            <w:vAlign w:val="center"/>
          </w:tcPr>
          <w:p>
            <w:pPr>
              <w:shd w:val="clear"/>
              <w:ind w:firstLine="960" w:firstLineChars="400"/>
              <w:jc w:val="left"/>
              <w:rPr>
                <w:rFonts w:hint="eastAsia" w:ascii="宋体" w:hAnsi="宋体" w:eastAsia="宋体" w:cs="宋体"/>
                <w:i w:val="0"/>
                <w:iCs w:val="0"/>
                <w:color w:val="000000"/>
                <w:sz w:val="22"/>
                <w:szCs w:val="22"/>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附表13</w:t>
            </w:r>
          </w:p>
        </w:tc>
        <w:tc>
          <w:tcPr>
            <w:tcW w:w="750" w:type="dxa"/>
            <w:gridSpan w:val="2"/>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2355" w:type="dxa"/>
            <w:gridSpan w:val="3"/>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1035" w:type="dxa"/>
            <w:gridSpan w:val="2"/>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1035" w:type="dxa"/>
            <w:gridSpan w:val="2"/>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1365" w:type="dxa"/>
            <w:gridSpan w:val="2"/>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3180" w:type="dxa"/>
            <w:gridSpan w:val="4"/>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600" w:type="dxa"/>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720" w:type="dxa"/>
            <w:gridSpan w:val="2"/>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720" w:type="dxa"/>
            <w:gridSpan w:val="2"/>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465" w:type="dxa"/>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c>
          <w:tcPr>
            <w:tcW w:w="1080" w:type="dxa"/>
            <w:tcBorders>
              <w:top w:val="nil"/>
              <w:left w:val="nil"/>
              <w:bottom w:val="nil"/>
              <w:right w:val="nil"/>
            </w:tcBorders>
            <w:shd w:val="clear" w:color="auto" w:fill="auto"/>
            <w:noWrap/>
            <w:vAlign w:val="center"/>
          </w:tcPr>
          <w:p>
            <w:pPr>
              <w:shd w:val="clea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943" w:hRule="atLeast"/>
        </w:trPr>
        <w:tc>
          <w:tcPr>
            <w:tcW w:w="14017" w:type="dxa"/>
            <w:gridSpan w:val="21"/>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4"/>
                <w:szCs w:val="44"/>
                <w:u w:val="none"/>
              </w:rPr>
            </w:pPr>
            <w:r>
              <w:rPr>
                <w:rFonts w:hint="default" w:ascii="方正小标宋简体" w:hAnsi="方正小标宋简体" w:eastAsia="方正小标宋简体" w:cs="方正小标宋简体"/>
                <w:i w:val="0"/>
                <w:iCs w:val="0"/>
                <w:color w:val="000000"/>
                <w:kern w:val="0"/>
                <w:sz w:val="44"/>
                <w:szCs w:val="44"/>
                <w:u w:val="none"/>
                <w:lang w:val="en-US" w:eastAsia="zh-CN" w:bidi="ar"/>
              </w:rPr>
              <w:t>部门预算项目绩效目标表（2025年度）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3"/>
          <w:trHeight w:val="529" w:hRule="atLeast"/>
        </w:trPr>
        <w:tc>
          <w:tcPr>
            <w:tcW w:w="4977" w:type="dxa"/>
            <w:gridSpan w:val="6"/>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130" w:type="dxa"/>
            <w:gridSpan w:val="2"/>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130" w:type="dxa"/>
            <w:gridSpan w:val="2"/>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130" w:type="dxa"/>
            <w:gridSpan w:val="2"/>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130" w:type="dxa"/>
            <w:gridSpan w:val="2"/>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130" w:type="dxa"/>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3390" w:type="dxa"/>
            <w:gridSpan w:val="6"/>
            <w:tcBorders>
              <w:top w:val="single" w:color="FFFFFF" w:sz="4" w:space="0"/>
              <w:left w:val="single" w:color="FFFFFF" w:sz="4" w:space="0"/>
              <w:bottom w:val="nil"/>
              <w:right w:val="single" w:color="FFFFFF"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32" w:hRule="atLeast"/>
        </w:trPr>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单位名称</w:t>
            </w:r>
          </w:p>
        </w:tc>
        <w:tc>
          <w:tcPr>
            <w:tcW w:w="11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预算数</w:t>
            </w:r>
          </w:p>
        </w:tc>
        <w:tc>
          <w:tcPr>
            <w:tcW w:w="14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年度目标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一级指标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二级指标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三级指标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性质</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指标值</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度量单位</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权重</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方向性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32" w:hRule="atLeast"/>
        </w:trPr>
        <w:tc>
          <w:tcPr>
            <w:tcW w:w="12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325901-广元市图书馆</w:t>
            </w:r>
          </w:p>
        </w:tc>
        <w:tc>
          <w:tcPr>
            <w:tcW w:w="118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广元市图书馆免费开放地方配套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资金</w:t>
            </w: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10.00 </w:t>
            </w:r>
          </w:p>
        </w:tc>
        <w:tc>
          <w:tcPr>
            <w:tcW w:w="14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维护图书馆正常运转，开展各类活动，为“倡导全民阅读，建设书香广元”发挥积极作用。</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二、三次文献印刷</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1000</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册</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32"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接待读者人次</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20000</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人次</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32"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培训展览活动次数</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943"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图书馆正常开放天数</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360</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天</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2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业务辅导</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32"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图书馆正常开放率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2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完成时间</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943"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为“倡导全民阅读，建设书香广元”发挥积极作用</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小时/天</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943"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其他商品和服务支出</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32"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电费</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32"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邮电费</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32"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劳务费</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632"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读者满意度</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748" w:hRule="atLeast"/>
        </w:trPr>
        <w:tc>
          <w:tcPr>
            <w:tcW w:w="12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325901-广元市图书馆</w:t>
            </w:r>
          </w:p>
        </w:tc>
        <w:tc>
          <w:tcPr>
            <w:tcW w:w="118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广元市图书馆文献资料购置费</w:t>
            </w: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23.02 </w:t>
            </w:r>
          </w:p>
        </w:tc>
        <w:tc>
          <w:tcPr>
            <w:tcW w:w="14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拟购置各类图书馆、期刊报纸、电子资源数据库，以满足读者需求。</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数据库个数</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个（套）</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74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各类报刊种数</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种</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74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书籍册数</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2000</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册</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74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正版率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74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购买完成时间</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943"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购买纸质图书总成本</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11.02</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74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期刊订阅总成本</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74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数据库购买总成本</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74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报纸订阅总成本</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74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借阅文献资源人次</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80000</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人次</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3"/>
          <w:trHeight w:val="758" w:hRule="atLeast"/>
        </w:trPr>
        <w:tc>
          <w:tcPr>
            <w:tcW w:w="12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读者满意度</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1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1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bl>
    <w:p>
      <w:pPr>
        <w:shd w:val="clear"/>
        <w:rPr>
          <w:rFonts w:hint="eastAsia" w:ascii="仿宋_GB2312" w:hAnsi="仿宋_GB2312" w:eastAsia="仿宋_GB2312" w:cs="仿宋_GB2312"/>
          <w:sz w:val="32"/>
          <w:szCs w:val="32"/>
          <w:lang w:val="en-US" w:eastAsia="zh-CN"/>
        </w:rPr>
      </w:pPr>
    </w:p>
    <w:sectPr>
      <w:pgSz w:w="16838" w:h="11906" w:orient="landscape"/>
      <w:pgMar w:top="1587" w:right="2098" w:bottom="1474" w:left="1984" w:header="720" w:footer="1559"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FB" w:usb2="0000002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w:panose1 w:val="020F0502020204030204"/>
    <w:charset w:val="00"/>
    <w:family w:val="swiss"/>
    <w:pitch w:val="default"/>
    <w:sig w:usb0="00000000" w:usb1="00000000" w:usb2="00000001" w:usb3="00000000" w:csb0="0000019F" w:csb1="00000000"/>
  </w:font>
  <w:font w:name="Lucida Sans">
    <w:panose1 w:val="020B0602030504020204"/>
    <w:charset w:val="00"/>
    <w:family w:val="auto"/>
    <w:pitch w:val="default"/>
    <w:sig w:usb0="00000000" w:usb1="00000000" w:usb2="00000000" w:usb3="00000000" w:csb0="00003F00" w:csb1="01000000"/>
  </w:font>
  <w:font w:name="Liberation Sans">
    <w:panose1 w:val="020B0604020202020204"/>
    <w:charset w:val="00"/>
    <w:family w:val="swiss"/>
    <w:pitch w:val="default"/>
    <w:sig w:usb0="A00002AF" w:usb1="500078FB" w:usb2="00000000" w:usb3="00000000" w:csb0="6000009F" w:csb1="DFD70000"/>
  </w:font>
  <w:font w:name="Noto Sans CJK SC Regular">
    <w:panose1 w:val="020B0500000000000000"/>
    <w:charset w:val="86"/>
    <w:family w:val="auto"/>
    <w:pitch w:val="default"/>
    <w:sig w:usb0="30000003" w:usb1="2BDF3C10" w:usb2="00000016" w:usb3="00000000" w:csb0="602E0107"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黑体简体">
    <w:altName w:val="方正黑体_GBK"/>
    <w:panose1 w:val="00000000000000000000"/>
    <w:charset w:val="00"/>
    <w:family w:val="auto"/>
    <w:pitch w:val="default"/>
    <w:sig w:usb0="00000000" w:usb1="00000000" w:usb2="00000000" w:usb3="00000000" w:csb0="00000000" w:csb1="00000000"/>
  </w:font>
  <w:font w:name="方正黑体_GBK">
    <w:panose1 w:val="02000000000000000000"/>
    <w:charset w:val="86"/>
    <w:family w:val="auto"/>
    <w:pitch w:val="default"/>
    <w:sig w:usb0="00000001" w:usb1="08000000" w:usb2="00000000" w:usb3="00000000" w:csb0="00040000" w:csb1="00000000"/>
  </w:font>
  <w:font w:name="Hiragino Sans GB">
    <w:altName w:val="Mangal"/>
    <w:panose1 w:val="00000000000000000000"/>
    <w:charset w:val="00"/>
    <w:family w:val="auto"/>
    <w:pitch w:val="default"/>
    <w:sig w:usb0="00000000" w:usb1="00000000" w:usb2="00000000" w:usb3="00000000" w:csb0="00000000" w:csb1="00000000"/>
  </w:font>
  <w:font w:name="Mangal">
    <w:panose1 w:val="00000400000000000000"/>
    <w:charset w:val="00"/>
    <w:family w:val="auto"/>
    <w:pitch w:val="default"/>
    <w:sig w:usb0="00008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BYAAABkcnMvUEsBAhQAFAAAAAgAh07iQM6p&#10;ebnPAAAABQEAAA8AAAAAAAAAAQAgAAAAOAAAAGRycy9kb3ducmV2LnhtbFBLAQIUABQAAAAIAIdO&#10;4kBteV5o3QEAAL4DAAAOAAAAAAAAAAEAIAAAADQBAABkcnMvZTJvRG9jLnhtbFBLBQYAAAAABgAG&#10;AFkBAACDBQAAAAA=&#10;">
              <v:fill on="f" focussize="0,0"/>
              <v:stroke on="f"/>
              <v:imagedata o:title=""/>
              <o:lock v:ext="edit" aspectratio="f"/>
              <v:textbox inset="0mm,0mm,0mm,0mm" style="mso-fit-shape-to-text:t;">
                <w:txbxContent>
                  <w:p>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9D2C2B"/>
    <w:multiLevelType w:val="singleLevel"/>
    <w:tmpl w:val="AB9D2C2B"/>
    <w:lvl w:ilvl="0" w:tentative="0">
      <w:start w:val="2"/>
      <w:numFmt w:val="chineseCounting"/>
      <w:suff w:val="nothing"/>
      <w:lvlText w:val="（%1）"/>
      <w:lvlJc w:val="left"/>
      <w:rPr>
        <w:rFonts w:hint="eastAsia"/>
      </w:rPr>
    </w:lvl>
  </w:abstractNum>
  <w:abstractNum w:abstractNumId="1">
    <w:nsid w:val="EFCCA986"/>
    <w:multiLevelType w:val="singleLevel"/>
    <w:tmpl w:val="EFCCA986"/>
    <w:lvl w:ilvl="0" w:tentative="0">
      <w:start w:val="1"/>
      <w:numFmt w:val="chineseCounting"/>
      <w:suff w:val="space"/>
      <w:lvlText w:val="第%1部分"/>
      <w:lvlJc w:val="left"/>
      <w:rPr>
        <w:rFonts w:hint="eastAsia" w:ascii="方正小标宋简体" w:hAnsi="方正小标宋简体" w:eastAsia="方正小标宋简体" w:cs="方正小标宋简体"/>
        <w:sz w:val="44"/>
        <w:szCs w:val="44"/>
      </w:rPr>
    </w:lvl>
  </w:abstractNum>
  <w:abstractNum w:abstractNumId="2">
    <w:nsid w:val="07C1305A"/>
    <w:multiLevelType w:val="singleLevel"/>
    <w:tmpl w:val="07C1305A"/>
    <w:lvl w:ilvl="0" w:tentative="0">
      <w:start w:val="1"/>
      <w:numFmt w:val="decimal"/>
      <w:lvlText w:val="%1."/>
      <w:lvlJc w:val="left"/>
      <w:pPr>
        <w:ind w:left="425" w:hanging="425"/>
      </w:pPr>
      <w:rPr>
        <w:rFonts w:hint="default"/>
      </w:rPr>
    </w:lvl>
  </w:abstractNum>
  <w:abstractNum w:abstractNumId="3">
    <w:nsid w:val="5BFCE1D6"/>
    <w:multiLevelType w:val="singleLevel"/>
    <w:tmpl w:val="5BFCE1D6"/>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1"/>
  <w:hyphenationZone w:val="360"/>
  <w:drawingGridHorizontalSpacing w:val="1"/>
  <w:drawingGridVerticalSpacing w:val="3189"/>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5MTc1YWUzNDk5OThmNzcwNDRiNmRkMjhiZTRiMmMifQ=="/>
  </w:docVars>
  <w:rsids>
    <w:rsidRoot w:val="00000000"/>
    <w:rsid w:val="012352D1"/>
    <w:rsid w:val="0DEE0F90"/>
    <w:rsid w:val="124808A5"/>
    <w:rsid w:val="14A81E98"/>
    <w:rsid w:val="1D9F113A"/>
    <w:rsid w:val="1DCF0181"/>
    <w:rsid w:val="1F7BF06F"/>
    <w:rsid w:val="1FE608D2"/>
    <w:rsid w:val="1FEE4B73"/>
    <w:rsid w:val="22E33E65"/>
    <w:rsid w:val="23CE9849"/>
    <w:rsid w:val="29CE019B"/>
    <w:rsid w:val="372799D5"/>
    <w:rsid w:val="3938427C"/>
    <w:rsid w:val="39F304DD"/>
    <w:rsid w:val="3FFEA2A5"/>
    <w:rsid w:val="46CFEED0"/>
    <w:rsid w:val="4AD0206A"/>
    <w:rsid w:val="4F343D4D"/>
    <w:rsid w:val="54244390"/>
    <w:rsid w:val="54662A63"/>
    <w:rsid w:val="55EB6693"/>
    <w:rsid w:val="58064E12"/>
    <w:rsid w:val="59364CC4"/>
    <w:rsid w:val="5A6A4AC7"/>
    <w:rsid w:val="5BB89863"/>
    <w:rsid w:val="5BFEE015"/>
    <w:rsid w:val="5DFD075F"/>
    <w:rsid w:val="5FF679D4"/>
    <w:rsid w:val="63EDCF55"/>
    <w:rsid w:val="63FBFBCF"/>
    <w:rsid w:val="669360FD"/>
    <w:rsid w:val="68FF6A83"/>
    <w:rsid w:val="6AEF6005"/>
    <w:rsid w:val="6E3DB48E"/>
    <w:rsid w:val="6EA56D16"/>
    <w:rsid w:val="6FBBC9CF"/>
    <w:rsid w:val="72BDE561"/>
    <w:rsid w:val="78462278"/>
    <w:rsid w:val="7997EA6C"/>
    <w:rsid w:val="7AEAE675"/>
    <w:rsid w:val="7BAFCE5D"/>
    <w:rsid w:val="7D46598C"/>
    <w:rsid w:val="7D9F8F0F"/>
    <w:rsid w:val="7DEF30D5"/>
    <w:rsid w:val="7DFB240B"/>
    <w:rsid w:val="7DFE05E7"/>
    <w:rsid w:val="7E0935ED"/>
    <w:rsid w:val="7ED7A56A"/>
    <w:rsid w:val="7FCF2AF7"/>
    <w:rsid w:val="9FEF033D"/>
    <w:rsid w:val="A27FF1E5"/>
    <w:rsid w:val="A9CFD93D"/>
    <w:rsid w:val="ABFEA5DB"/>
    <w:rsid w:val="AF3FEDDD"/>
    <w:rsid w:val="AFDEB5A7"/>
    <w:rsid w:val="AFEA7FBF"/>
    <w:rsid w:val="B83F4767"/>
    <w:rsid w:val="BF930F07"/>
    <w:rsid w:val="BFCE8436"/>
    <w:rsid w:val="C3F7EB7A"/>
    <w:rsid w:val="CFBD8222"/>
    <w:rsid w:val="CFF5FEEC"/>
    <w:rsid w:val="D3DD9064"/>
    <w:rsid w:val="D6F76A0C"/>
    <w:rsid w:val="D7ECE8D2"/>
    <w:rsid w:val="DD2BC8C0"/>
    <w:rsid w:val="DFDD4FB5"/>
    <w:rsid w:val="E3FC5BBD"/>
    <w:rsid w:val="E7F748B5"/>
    <w:rsid w:val="EE5F3713"/>
    <w:rsid w:val="EFC9D62C"/>
    <w:rsid w:val="F61F91D3"/>
    <w:rsid w:val="F6BE9755"/>
    <w:rsid w:val="F6FFA89B"/>
    <w:rsid w:val="F7FFA4EB"/>
    <w:rsid w:val="F88D0DC7"/>
    <w:rsid w:val="FAE4EFE1"/>
    <w:rsid w:val="FB9B6F12"/>
    <w:rsid w:val="FBB66A4A"/>
    <w:rsid w:val="FBF7C4DC"/>
    <w:rsid w:val="FDEE6989"/>
    <w:rsid w:val="FE3FE3D1"/>
    <w:rsid w:val="FEFF0922"/>
    <w:rsid w:val="FF5E7DB8"/>
    <w:rsid w:val="FF77E367"/>
    <w:rsid w:val="FFD576EB"/>
    <w:rsid w:val="FFDB1578"/>
    <w:rsid w:val="FFFADE43"/>
    <w:rsid w:val="FFFBE8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12">
    <w:name w:val="Default Paragraph Font"/>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toc 4"/>
    <w:basedOn w:val="1"/>
    <w:next w:val="1"/>
    <w:qFormat/>
    <w:uiPriority w:val="0"/>
    <w:pPr>
      <w:ind w:left="1260"/>
    </w:pPr>
  </w:style>
  <w:style w:type="paragraph" w:styleId="3">
    <w:name w:val="caption"/>
    <w:basedOn w:val="1"/>
    <w:next w:val="1"/>
    <w:qFormat/>
    <w:uiPriority w:val="0"/>
    <w:pPr>
      <w:widowControl w:val="0"/>
      <w:suppressLineNumbers/>
      <w:suppressAutoHyphens/>
      <w:spacing w:before="120" w:after="120"/>
    </w:pPr>
    <w:rPr>
      <w:i/>
      <w:iCs/>
      <w:sz w:val="24"/>
      <w:szCs w:val="24"/>
    </w:rPr>
  </w:style>
  <w:style w:type="paragraph" w:styleId="4">
    <w:name w:val="Body Text"/>
    <w:basedOn w:val="1"/>
    <w:qFormat/>
    <w:uiPriority w:val="0"/>
    <w:pPr>
      <w:spacing w:before="0" w:after="140" w:line="276" w:lineRule="auto"/>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basedOn w:val="1"/>
    <w:next w:val="1"/>
    <w:qFormat/>
    <w:uiPriority w:val="0"/>
  </w:style>
  <w:style w:type="paragraph" w:styleId="8">
    <w:name w:val="List"/>
    <w:basedOn w:val="4"/>
    <w:qFormat/>
    <w:uiPriority w:val="0"/>
  </w:style>
  <w:style w:type="paragraph" w:styleId="9">
    <w:name w:val="toc 2"/>
    <w:basedOn w:val="1"/>
    <w:next w:val="1"/>
    <w:qFormat/>
    <w:uiPriority w:val="0"/>
    <w:pPr>
      <w:ind w:left="420" w:leftChars="200"/>
    </w:p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character" w:customStyle="1" w:styleId="13">
    <w:name w:val="默认段落字体1"/>
    <w:qFormat/>
    <w:uiPriority w:val="0"/>
  </w:style>
  <w:style w:type="paragraph" w:customStyle="1" w:styleId="14">
    <w:name w:val="Heading"/>
    <w:basedOn w:val="1"/>
    <w:next w:val="4"/>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5">
    <w:name w:val="Index"/>
    <w:basedOn w:val="1"/>
    <w:qFormat/>
    <w:uiPriority w:val="0"/>
    <w:pPr>
      <w:widowControl w:val="0"/>
      <w:suppressLineNumbers/>
      <w:suppressAutoHyphens/>
    </w:pPr>
  </w:style>
  <w:style w:type="character" w:customStyle="1" w:styleId="16">
    <w:name w:val="font61"/>
    <w:basedOn w:val="12"/>
    <w:qFormat/>
    <w:uiPriority w:val="0"/>
    <w:rPr>
      <w:rFonts w:hint="eastAsia" w:ascii="宋体" w:hAnsi="宋体" w:eastAsia="宋体" w:cs="宋体"/>
      <w:color w:val="000000"/>
      <w:sz w:val="22"/>
      <w:szCs w:val="22"/>
      <w:u w:val="none"/>
    </w:rPr>
  </w:style>
  <w:style w:type="character" w:customStyle="1" w:styleId="17">
    <w:name w:val="font51"/>
    <w:basedOn w:val="12"/>
    <w:qFormat/>
    <w:uiPriority w:val="0"/>
    <w:rPr>
      <w:rFonts w:hint="eastAsia" w:ascii="宋体" w:hAnsi="宋体" w:eastAsia="宋体" w:cs="宋体"/>
      <w:color w:val="000000"/>
      <w:sz w:val="22"/>
      <w:szCs w:val="22"/>
      <w:u w:val="none"/>
    </w:rPr>
  </w:style>
  <w:style w:type="character" w:customStyle="1" w:styleId="18">
    <w:name w:val="font21"/>
    <w:basedOn w:val="12"/>
    <w:qFormat/>
    <w:uiPriority w:val="0"/>
    <w:rPr>
      <w:rFonts w:hint="eastAsia" w:ascii="宋体" w:hAnsi="宋体" w:eastAsia="宋体" w:cs="宋体"/>
      <w:color w:val="000000"/>
      <w:sz w:val="22"/>
      <w:szCs w:val="22"/>
      <w:u w:val="none"/>
    </w:rPr>
  </w:style>
  <w:style w:type="character" w:customStyle="1" w:styleId="19">
    <w:name w:val="font41"/>
    <w:basedOn w:val="12"/>
    <w:qFormat/>
    <w:uiPriority w:val="0"/>
    <w:rPr>
      <w:rFonts w:hint="eastAsia" w:ascii="宋体" w:hAnsi="宋体" w:eastAsia="宋体" w:cs="宋体"/>
      <w:color w:val="000000"/>
      <w:sz w:val="22"/>
      <w:szCs w:val="22"/>
      <w:u w:val="none"/>
    </w:rPr>
  </w:style>
  <w:style w:type="paragraph" w:customStyle="1" w:styleId="20">
    <w:name w:val="WPSOffice手动目录 1"/>
    <w:qFormat/>
    <w:uiPriority w:val="0"/>
    <w:pPr>
      <w:ind w:leftChars="0"/>
    </w:pPr>
    <w:rPr>
      <w:rFonts w:ascii="Times New Roman" w:hAnsi="Times New Roman" w:eastAsia="宋体" w:cs="Times New Roman"/>
      <w:sz w:val="20"/>
      <w:szCs w:val="20"/>
    </w:rPr>
  </w:style>
  <w:style w:type="paragraph" w:customStyle="1" w:styleId="21">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43</Pages>
  <Words>2985</Words>
  <Characters>3265</Characters>
  <TotalTime>20</TotalTime>
  <ScaleCrop>false</ScaleCrop>
  <LinksUpToDate>false</LinksUpToDate>
  <CharactersWithSpaces>3292</CharactersWithSpaces>
  <Application>WPS Office_11.8.2.1125_F1E327BC-269C-435d-A152-05C5408002CA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2018-12-02T17:47:00Z</dcterms:created>
  <dc:creator>admin</dc:creator>
  <cp:lastModifiedBy> </cp:lastModifiedBy>
  <dcterms:modified xsi:type="dcterms:W3CDTF">2025-02-19T10:54:53Z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2052-11.8.2.1125</vt:lpwstr>
  </property>
  <property fmtid="{D5CDD505-2E9C-101B-9397-08002B2CF9AE}" pid="3" name="ICV">
    <vt:lpwstr>B0F12EA329724C8AAB9F5318381C04E7_13</vt:lpwstr>
  </property>
  <property fmtid="{D5CDD505-2E9C-101B-9397-08002B2CF9AE}" pid="4" name="KSOTemplateDocerSaveRecord">
    <vt:lpwstr>eyJoZGlkIjoiZmQzMTU5NmIzMTdiYjAyM2ZjZDg3NzBhMmYyNDA5MDUiLCJ1c2VySWQiOiIxMjk3ODc3NDUxIn0=</vt:lpwstr>
  </property>
</Properties>
</file>