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spacing w:before="0" w:beforeAutospacing="0" w:after="0" w:afterAutospacing="0" w:line="580" w:lineRule="atLeast"/>
        <w:ind w:left="0" w:right="0" w:firstLine="0"/>
        <w:jc w:val="center"/>
        <w:outlineLvl w:val="9"/>
        <w:rPr>
          <w:rFonts w:hint="eastAsia" w:ascii="方正小标宋简体" w:hAnsi="方正小标宋简体" w:eastAsia="方正小标宋简体" w:cs="方正小标宋简体"/>
          <w:b w:val="0"/>
          <w:bCs w:val="0"/>
          <w:i w:val="0"/>
          <w:caps w:val="0"/>
          <w:color w:val="000000" w:themeColor="text1"/>
          <w:spacing w:val="0"/>
          <w:sz w:val="44"/>
          <w:szCs w:val="44"/>
          <w:highlight w:val="none"/>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sz w:val="44"/>
          <w:szCs w:val="44"/>
          <w:highlight w:val="none"/>
          <w:lang w:val="en-US" w:eastAsia="zh-CN"/>
          <w14:textFill>
            <w14:solidFill>
              <w14:schemeClr w14:val="tx1"/>
            </w14:solidFill>
          </w14:textFill>
        </w:rPr>
        <w:t>广元市图书馆</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2024年部门预算编制说明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p>
    <w:sdt>
      <w:sdtPr>
        <w:rPr>
          <w:rFonts w:hint="eastAsia" w:ascii="黑体" w:hAnsi="黑体" w:eastAsia="黑体" w:cs="黑体"/>
          <w:color w:val="auto"/>
          <w:kern w:val="2"/>
          <w:sz w:val="21"/>
          <w:szCs w:val="24"/>
          <w:lang w:val="en-US" w:eastAsia="zh-CN" w:bidi="ar-SA"/>
        </w:rPr>
        <w:id w:val="147474483"/>
        <w15:color w:val="DBDBDB"/>
        <w:docPartObj>
          <w:docPartGallery w:val="Table of Contents"/>
          <w:docPartUnique/>
        </w:docPartObj>
      </w:sdtPr>
      <w:sdtEndPr>
        <w:rPr>
          <w:rFonts w:hint="eastAsia" w:ascii="黑体" w:hAnsi="黑体" w:eastAsia="黑体" w:cs="黑体"/>
          <w:b/>
          <w:color w:val="auto"/>
          <w:kern w:val="2"/>
          <w:sz w:val="21"/>
          <w:szCs w:val="32"/>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32"/>
              <w:szCs w:val="32"/>
            </w:rPr>
          </w:pPr>
          <w:bookmarkStart w:id="18" w:name="_GoBack"/>
          <w:r>
            <w:rPr>
              <w:rFonts w:hint="eastAsia" w:ascii="黑体" w:hAnsi="黑体" w:eastAsia="黑体" w:cs="黑体"/>
              <w:sz w:val="32"/>
              <w:szCs w:val="32"/>
            </w:rPr>
            <w:t>目</w:t>
          </w:r>
          <w:r>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黑体" w:hAnsi="黑体" w:eastAsia="黑体" w:cs="黑体"/>
              <w:sz w:val="32"/>
              <w:szCs w:val="32"/>
            </w:rPr>
            <w:t>录</w:t>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TOC \o "1-2" \h \u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_Toc32629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一、基本职能及主要工作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_Toc32629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_Toc9658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广元市图书馆</w:t>
          </w:r>
          <w:r>
            <w:rPr>
              <w:rFonts w:hint="eastAsia" w:ascii="仿宋_GB2312" w:hAnsi="仿宋_GB2312" w:eastAsia="仿宋_GB2312" w:cs="仿宋_GB2312"/>
              <w:sz w:val="32"/>
              <w:szCs w:val="32"/>
            </w:rPr>
            <w:t>职能简介</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_Toc9658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_Toc7168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rPr>
            <w:t xml:space="preserve">（二） </w:t>
          </w:r>
          <w:r>
            <w:rPr>
              <w:rFonts w:hint="eastAsia" w:ascii="仿宋_GB2312" w:hAnsi="仿宋_GB2312" w:eastAsia="仿宋_GB2312" w:cs="仿宋_GB2312"/>
              <w:sz w:val="32"/>
              <w:szCs w:val="32"/>
              <w:lang w:val="en-US" w:eastAsia="zh-CN"/>
            </w:rPr>
            <w:t>广元市图书馆单位</w:t>
          </w:r>
          <w:r>
            <w:rPr>
              <w:rFonts w:hint="eastAsia" w:ascii="仿宋_GB2312" w:hAnsi="仿宋_GB2312" w:eastAsia="仿宋_GB2312" w:cs="仿宋_GB2312"/>
              <w:sz w:val="32"/>
              <w:szCs w:val="32"/>
              <w:lang w:val="en-US"/>
            </w:rPr>
            <w:t>2024</w:t>
          </w:r>
          <w:r>
            <w:rPr>
              <w:rFonts w:hint="eastAsia" w:ascii="仿宋_GB2312" w:hAnsi="仿宋_GB2312" w:eastAsia="仿宋_GB2312" w:cs="仿宋_GB2312"/>
              <w:sz w:val="32"/>
              <w:szCs w:val="32"/>
            </w:rPr>
            <w:t>年重点工作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_Toc7168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_Toc15966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二、部门预算单位构成</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_Toc15966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_Toc18019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三、收支预算情况说明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_Toc18019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_Toc9444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（一）收入预算情况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_Toc9444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_Toc6628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（二）支出预算情况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_Toc6628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_Toc27853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四、财政拨款收支预算情况说明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_Toc27853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_Toc29701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五、一般公共预算当年拨款情况说明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_Toc29701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_Toc23924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（一）一般公共预算当年拨款规模变化情况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_Toc23924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_Toc26385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（二）一般公共预算当年拨款结构情况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_Toc26385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8"/>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_Toc28394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（三）一般公共预算当年拨款具体使用情况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_Toc28394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_Toc17920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六、一般公共预算基本支出情况说明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_Toc17920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_Toc7882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七、“三公”经费财政拨款预算安排情况说明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_Toc7882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_Toc15483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八、政府性基金预算支出情况说明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_Toc15483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_Toc25769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九、国有资本经营预算支出情况说明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_Toc25769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_Toc15372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十、其他重要事项的情况说明</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_Toc15372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540" w:lineRule="exact"/>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\l _Toc2829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十一、名词解释</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_Toc2829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Cs w:val="32"/>
              <w:lang w:val="en-US" w:eastAsia="zh-CN"/>
            </w:rPr>
            <w:fldChar w:fldCharType="end"/>
          </w:r>
          <w:bookmarkEnd w:id="18"/>
        </w:p>
      </w:sdtContent>
    </w:sdt>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0" w:name="_Toc32629"/>
      <w:r>
        <w:rPr>
          <w:rFonts w:hint="eastAsia" w:ascii="黑体" w:hAnsi="黑体" w:eastAsia="黑体" w:cs="黑体"/>
          <w:sz w:val="32"/>
          <w:szCs w:val="32"/>
          <w:lang w:val="en-US" w:eastAsia="zh-CN"/>
        </w:rPr>
        <w:t>一、基本职能及主要工作</w:t>
      </w:r>
      <w:bookmarkEnd w:id="0"/>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outlineLvl w:val="1"/>
        <w:rPr>
          <w:rFonts w:hint="eastAsia" w:ascii="仿宋_GB2312" w:hAnsi="仿宋_GB2312" w:eastAsia="仿宋_GB2312" w:cs="仿宋_GB2312"/>
          <w:sz w:val="32"/>
          <w:szCs w:val="32"/>
        </w:rPr>
      </w:pPr>
      <w:bookmarkStart w:id="1" w:name="_Toc9658"/>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广元市图书馆</w:t>
      </w:r>
      <w:r>
        <w:rPr>
          <w:rFonts w:hint="eastAsia" w:ascii="仿宋_GB2312" w:hAnsi="仿宋_GB2312" w:eastAsia="仿宋_GB2312" w:cs="仿宋_GB2312"/>
          <w:sz w:val="32"/>
          <w:szCs w:val="32"/>
        </w:rPr>
        <w:t>职能简介</w:t>
      </w:r>
      <w:bookmarkEnd w:id="1"/>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馆主要是免费对外开放馆内设施，收集、整理、保存、开发、应用各种载体文献资源，承担保存人类文化遗产，开发文献资源，传递社会信息；负责地方文献的收集、整理、储存和研究工作；提供文献借阅、阅读辅导、信息咨询等公益服务；组织开展各类阅读推广、读书讲座、图书展览等活动，开展图书管理与服务的理论研究，指导县区公共图书馆、图书服务网点（分馆、社区阅览室、城市书房等）建设；完成上级交办的其他工作。</w:t>
      </w:r>
    </w:p>
    <w:p>
      <w:pPr>
        <w:keepNext w:val="0"/>
        <w:keepLines w:val="0"/>
        <w:pageBreakBefore w:val="0"/>
        <w:widowControl w:val="0"/>
        <w:numPr>
          <w:ilvl w:val="0"/>
          <w:numId w:val="1"/>
        </w:numPr>
        <w:shd w:val="clear"/>
        <w:kinsoku/>
        <w:wordWrap/>
        <w:overflowPunct/>
        <w:topLinePunct w:val="0"/>
        <w:autoSpaceDE/>
        <w:autoSpaceDN/>
        <w:bidi w:val="0"/>
        <w:adjustRightInd/>
        <w:snapToGrid/>
        <w:spacing w:line="576" w:lineRule="exact"/>
        <w:ind w:firstLine="640" w:firstLineChars="200"/>
        <w:textAlignment w:val="auto"/>
        <w:outlineLvl w:val="1"/>
        <w:rPr>
          <w:rFonts w:hint="eastAsia" w:ascii="仿宋_GB2312" w:hAnsi="仿宋_GB2312" w:eastAsia="仿宋_GB2312" w:cs="仿宋_GB2312"/>
          <w:sz w:val="32"/>
          <w:szCs w:val="32"/>
        </w:rPr>
      </w:pPr>
      <w:bookmarkStart w:id="2" w:name="_Toc7168"/>
      <w:r>
        <w:rPr>
          <w:rFonts w:hint="eastAsia" w:ascii="仿宋_GB2312" w:hAnsi="仿宋_GB2312" w:eastAsia="仿宋_GB2312" w:cs="仿宋_GB2312"/>
          <w:sz w:val="32"/>
          <w:szCs w:val="32"/>
          <w:lang w:val="en-US" w:eastAsia="zh-CN"/>
        </w:rPr>
        <w:t>广元市图书馆单位</w:t>
      </w:r>
      <w:r>
        <w:rPr>
          <w:rFonts w:hint="eastAsia" w:ascii="仿宋_GB2312" w:hAnsi="仿宋_GB2312" w:eastAsia="仿宋_GB2312" w:cs="仿宋_GB2312"/>
          <w:sz w:val="32"/>
          <w:szCs w:val="32"/>
          <w:lang w:val="en-US"/>
        </w:rPr>
        <w:t>2024</w:t>
      </w:r>
      <w:r>
        <w:rPr>
          <w:rFonts w:hint="eastAsia" w:ascii="仿宋_GB2312" w:hAnsi="仿宋_GB2312" w:eastAsia="仿宋_GB2312" w:cs="仿宋_GB2312"/>
          <w:sz w:val="32"/>
          <w:szCs w:val="32"/>
        </w:rPr>
        <w:t>年重点工作</w:t>
      </w:r>
      <w:bookmarkEnd w:id="2"/>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一是与社会力量深入合作，形式多样的开展好读书活动。</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二是积极承办省图的有关业务培训活动。</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三是进一步推动《蜀道文库》系列古籍整理出版。</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四是争取和实施好市城区儿童书屋建设项目。</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五是争取古籍保护站建设工作和上级政府购买服务项目。</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六是争取强化一级馆短板弱项。</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bookmarkStart w:id="3" w:name="_Toc15966"/>
      <w:r>
        <w:rPr>
          <w:rFonts w:hint="eastAsia" w:ascii="黑体" w:hAnsi="黑体" w:eastAsia="黑体" w:cs="黑体"/>
          <w:sz w:val="32"/>
          <w:szCs w:val="32"/>
          <w:lang w:val="en-US" w:eastAsia="zh-CN"/>
        </w:rPr>
        <w:t>二、部门预算单位构成</w:t>
      </w:r>
      <w:bookmarkEnd w:id="3"/>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本单位为广元市文化广播电视和旅游局所属二级预算单位，单位性质为财政补助事业单位，本单位无下属机构。</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4" w:name="_Toc18019"/>
      <w:r>
        <w:rPr>
          <w:rFonts w:hint="eastAsia" w:ascii="黑体" w:hAnsi="黑体" w:eastAsia="黑体" w:cs="黑体"/>
          <w:sz w:val="32"/>
          <w:szCs w:val="32"/>
          <w:lang w:val="en-US" w:eastAsia="zh-CN"/>
        </w:rPr>
        <w:t>三、收支预算情况说明</w:t>
      </w:r>
      <w:bookmarkEnd w:id="4"/>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按照综合预算的原则，广元市图书馆所有收入和支出均纳入部门预算管理。收入包括：一般公共预算拨款收入；支出包括：文化旅游体育与传媒支出、社会保障和就业支出、卫生健康支出、住房保障支出。广元市图书馆2024年收支预算总数589.8万元,比2023年收支预算总数增加26.08万元，主要原因是工资福利支出增加。</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5" w:name="_Toc9444"/>
      <w:r>
        <w:rPr>
          <w:rFonts w:hint="eastAsia" w:ascii="楷体_GB2312" w:hAnsi="楷体_GB2312" w:eastAsia="楷体_GB2312" w:cs="楷体_GB2312"/>
          <w:sz w:val="32"/>
          <w:szCs w:val="32"/>
          <w:lang w:val="en-US" w:eastAsia="zh-CN"/>
        </w:rPr>
        <w:t>（一）收入预算情况</w:t>
      </w:r>
      <w:bookmarkEnd w:id="5"/>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广元市图书馆2024年收入预算589.8万元，其中：一般公共预算拨款收入589.8万元，占100%。</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6" w:name="_Toc6628"/>
      <w:r>
        <w:rPr>
          <w:rFonts w:hint="eastAsia" w:ascii="楷体_GB2312" w:hAnsi="楷体_GB2312" w:eastAsia="楷体_GB2312" w:cs="楷体_GB2312"/>
          <w:sz w:val="32"/>
          <w:szCs w:val="32"/>
          <w:lang w:val="en-US" w:eastAsia="zh-CN"/>
        </w:rPr>
        <w:t>（二）支出预算情况</w:t>
      </w:r>
      <w:bookmarkEnd w:id="6"/>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广元市图书馆2024年支出预算589.8万元，其中：基本支出555.58万元，占94.2%；项目支出34.22万元，占5.8%</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7" w:name="_Toc27853"/>
      <w:r>
        <w:rPr>
          <w:rFonts w:hint="eastAsia" w:ascii="黑体" w:hAnsi="黑体" w:eastAsia="黑体" w:cs="黑体"/>
          <w:sz w:val="32"/>
          <w:szCs w:val="32"/>
          <w:lang w:val="en-US" w:eastAsia="zh-CN"/>
        </w:rPr>
        <w:t>四、财政拨款收支预算情况说明</w:t>
      </w:r>
      <w:bookmarkEnd w:id="7"/>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广元市图书馆2024年财政拨款收支预算总数589.8万元,比2023年财政拨款收支预算总数增加26.08万元，主要原因是是工资福利支出增加。</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收入包括：本年一般公共预算拨款收入589.8万元；支出包括：文化旅游体育与传媒支出483.09万元、社会保障和就业支出49.5万元、卫生健康支出15.49万元、住房保障支出41.72万元。</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bookmarkStart w:id="8" w:name="_Toc29701"/>
      <w:r>
        <w:rPr>
          <w:rFonts w:hint="eastAsia" w:ascii="黑体" w:hAnsi="黑体" w:eastAsia="黑体" w:cs="黑体"/>
          <w:sz w:val="32"/>
          <w:szCs w:val="32"/>
          <w:lang w:val="en-US" w:eastAsia="zh-CN"/>
        </w:rPr>
        <w:t>五、一般公共预算当年拨款情况说明</w:t>
      </w:r>
      <w:bookmarkEnd w:id="8"/>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9" w:name="_Toc23924"/>
      <w:r>
        <w:rPr>
          <w:rFonts w:hint="eastAsia" w:ascii="楷体_GB2312" w:hAnsi="楷体_GB2312" w:eastAsia="楷体_GB2312" w:cs="楷体_GB2312"/>
          <w:sz w:val="32"/>
          <w:szCs w:val="32"/>
          <w:lang w:val="en-US" w:eastAsia="zh-CN"/>
        </w:rPr>
        <w:t>（一）一般公共预算当年拨款规模变化情况</w:t>
      </w:r>
      <w:bookmarkEnd w:id="9"/>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广元市图书馆2024年一般公共预算当年拨款589.8万元，比2023年预算数增加26.08万元，主要原因是是工资福利支出增加。</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10" w:name="_Toc26385"/>
      <w:r>
        <w:rPr>
          <w:rFonts w:hint="eastAsia" w:ascii="楷体_GB2312" w:hAnsi="楷体_GB2312" w:eastAsia="楷体_GB2312" w:cs="楷体_GB2312"/>
          <w:sz w:val="32"/>
          <w:szCs w:val="32"/>
          <w:lang w:val="en-US" w:eastAsia="zh-CN"/>
        </w:rPr>
        <w:t>（二）一般公共预算当年拨款结构情况</w:t>
      </w:r>
      <w:bookmarkEnd w:id="10"/>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文化旅游体育与传媒支出483.09万元，占81.91%；社会保障和就业支出49.5万元，占8.39%；卫生健康支出15.49万元，占2.63%；住房保障支出41.72万元，占7.07%。</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11" w:name="_Toc28394"/>
      <w:r>
        <w:rPr>
          <w:rFonts w:hint="eastAsia" w:ascii="楷体_GB2312" w:hAnsi="楷体_GB2312" w:eastAsia="楷体_GB2312" w:cs="楷体_GB2312"/>
          <w:sz w:val="32"/>
          <w:szCs w:val="32"/>
          <w:lang w:val="en-US" w:eastAsia="zh-CN"/>
        </w:rPr>
        <w:t>（三）一般公共预算当年拨款具体使用情况</w:t>
      </w:r>
      <w:bookmarkEnd w:id="11"/>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1.文化旅游体育与传媒支出（类）文化和旅游（款）图书馆（项）202</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lang w:val="en-US" w:eastAsia="zh-CN"/>
        </w:rPr>
        <w:t>年预算数为</w:t>
      </w:r>
      <w:r>
        <w:rPr>
          <w:rFonts w:hint="eastAsia" w:ascii="仿宋_GB2312" w:hAnsi="仿宋_GB2312" w:eastAsia="仿宋_GB2312" w:cs="仿宋_GB2312"/>
          <w:sz w:val="32"/>
          <w:szCs w:val="32"/>
          <w:lang w:val="en-US" w:eastAsia="zh-CN"/>
        </w:rPr>
        <w:t>483.09</w:t>
      </w:r>
      <w:r>
        <w:rPr>
          <w:rFonts w:hint="default" w:ascii="仿宋_GB2312" w:hAnsi="仿宋_GB2312" w:eastAsia="仿宋_GB2312" w:cs="仿宋_GB2312"/>
          <w:sz w:val="32"/>
          <w:szCs w:val="32"/>
          <w:lang w:val="en-US" w:eastAsia="zh-CN"/>
        </w:rPr>
        <w:t>万元，主要用于：人员经费、日常公用经费、党建经费、工会经费及项目经费等。</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社会保障和就业（类）行政事业单位养老支出（款）机关事业单位基本养老保险缴费支出（项）2024年预算数为47.93万元，主要用于：实施养老保险制度由单位缴纳的基本养老保险支出。</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3.社会保障和就业（类）其他社会保障和就业支出（款）其他社会保障和就业支出（项）2024年预算数为1.57万元，主要用于：单位缴纳的失业和工伤保险。</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4.卫生健康（类）行政事业单位医疗（款）事业单位医疗（项）2024年预算数为15.49万元，主要用于：事业单位按规定由单位缴纳的基本医疗保险支出。</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5.住房保障（类）住房改革支出（款）住房公积金（项）2024年预算数为41.72万元，主要用于：部门按规定为职工缴纳的住房公积金支出。</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12" w:name="_Toc17920"/>
      <w:r>
        <w:rPr>
          <w:rFonts w:hint="eastAsia" w:ascii="黑体" w:hAnsi="黑体" w:eastAsia="黑体" w:cs="黑体"/>
          <w:sz w:val="32"/>
          <w:szCs w:val="32"/>
          <w:lang w:val="en-US" w:eastAsia="zh-CN"/>
        </w:rPr>
        <w:t>六、一般公共预算基本支出情况说明</w:t>
      </w:r>
      <w:bookmarkEnd w:id="12"/>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广元市图书馆2024年一般公共预算基本支出555.58万元，其中：</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人员经费507.15万元，主要包括：基本工资、津贴补贴、奖金、绩效工资、机关事业单位基本养老保险缴费、职工基本医疗保险缴费、其他社会保障缴费、住房公积金</w:t>
      </w:r>
      <w:r>
        <w:rPr>
          <w:rFonts w:hint="default" w:ascii="仿宋_GB2312" w:hAnsi="仿宋_GB2312" w:eastAsia="仿宋_GB2312" w:cs="仿宋_GB2312"/>
          <w:sz w:val="32"/>
          <w:szCs w:val="32"/>
          <w:lang w:eastAsia="zh-CN"/>
          <w:woUserID w:val="1"/>
        </w:rPr>
        <w:t>、生活补助</w:t>
      </w:r>
      <w:r>
        <w:rPr>
          <w:rFonts w:hint="eastAsia" w:ascii="仿宋_GB2312" w:hAnsi="仿宋_GB2312" w:eastAsia="仿宋_GB2312" w:cs="仿宋_GB2312"/>
          <w:sz w:val="32"/>
          <w:szCs w:val="32"/>
          <w:lang w:val="en-US" w:eastAsia="zh-CN"/>
        </w:rPr>
        <w:t>等支出。</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公用经费48.43万元，主要包括：办公费、印刷费、手续费、水费、电费、邮电费、差旅费、维修（护）费、租赁费、培训费、公务接待费、劳务费、委托业务费、工会经费、福利费、其他交通费用</w:t>
      </w:r>
      <w:r>
        <w:rPr>
          <w:rFonts w:hint="default" w:ascii="仿宋_GB2312" w:hAnsi="仿宋_GB2312" w:eastAsia="仿宋_GB2312" w:cs="仿宋_GB2312"/>
          <w:sz w:val="32"/>
          <w:szCs w:val="32"/>
          <w:lang w:eastAsia="zh-CN"/>
          <w:woUserID w:val="1"/>
        </w:rPr>
        <w:t>、其他商品和服务支出</w:t>
      </w:r>
      <w:r>
        <w:rPr>
          <w:rFonts w:hint="eastAsia" w:ascii="仿宋_GB2312" w:hAnsi="仿宋_GB2312" w:eastAsia="仿宋_GB2312" w:cs="仿宋_GB2312"/>
          <w:sz w:val="32"/>
          <w:szCs w:val="32"/>
          <w:lang w:val="en-US" w:eastAsia="zh-CN"/>
        </w:rPr>
        <w:t>等支出。</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13" w:name="_Toc7882"/>
      <w:r>
        <w:rPr>
          <w:rFonts w:hint="eastAsia" w:ascii="黑体" w:hAnsi="黑体" w:eastAsia="黑体" w:cs="黑体"/>
          <w:sz w:val="32"/>
          <w:szCs w:val="32"/>
          <w:lang w:val="en-US" w:eastAsia="zh-CN"/>
        </w:rPr>
        <w:t>七、“三公”经费财政拨款预算安排情况说明</w:t>
      </w:r>
      <w:bookmarkEnd w:id="13"/>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广元市图书馆2024年“三公”经费财政拨款预算数0.12万元，其中：公务接待费0.12万元，公务用车购置及运行维护费0万元，因公出国（境）经费0万元。</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（一）公务接待费</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公务接待费与2023年预算相比持平。</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2024年公务接待费计划用于执行接待考察调研、检查指导等公务活动开支的交通费、住宿费、用餐费等。</w:t>
      </w:r>
    </w:p>
    <w:p>
      <w:pPr>
        <w:keepNext w:val="0"/>
        <w:keepLines w:val="0"/>
        <w:pageBreakBefore w:val="0"/>
        <w:widowControl w:val="0"/>
        <w:numPr>
          <w:ilvl w:val="0"/>
          <w:numId w:val="2"/>
        </w:numPr>
        <w:shd w:val="clear"/>
        <w:kinsoku/>
        <w:wordWrap/>
        <w:overflowPunct/>
        <w:topLinePunct w:val="0"/>
        <w:autoSpaceDE/>
        <w:autoSpaceDN/>
        <w:bidi w:val="0"/>
        <w:adjustRightInd/>
        <w:snapToGrid/>
        <w:spacing w:line="576"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公务用车购置及运行维护费</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公务用车购置及运行维护费与2023年预算相比。</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单位现有公务用车0辆。</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eastAsia="zh-CN"/>
          <w:woUserID w:val="1"/>
        </w:rPr>
      </w:pPr>
      <w:r>
        <w:rPr>
          <w:rFonts w:hint="default" w:ascii="仿宋_GB2312" w:hAnsi="Calibri" w:eastAsia="仿宋_GB2312" w:cs="仿宋_GB2312"/>
          <w:color w:val="auto"/>
          <w:kern w:val="2"/>
          <w:sz w:val="32"/>
          <w:szCs w:val="32"/>
          <w:lang w:val="en-US" w:eastAsia="zh-CN" w:bidi="ar"/>
          <w:woUserID w:val="1"/>
        </w:rPr>
        <w:t>2024年未安排公务用车购置费</w:t>
      </w:r>
      <w:r>
        <w:rPr>
          <w:rFonts w:hint="default" w:ascii="仿宋_GB2312" w:eastAsia="仿宋_GB2312" w:cs="仿宋_GB2312"/>
          <w:color w:val="auto"/>
          <w:kern w:val="2"/>
          <w:sz w:val="32"/>
          <w:szCs w:val="32"/>
          <w:lang w:eastAsia="zh-CN" w:bidi="ar"/>
          <w:woUserID w:val="1"/>
        </w:rPr>
        <w:t>、</w:t>
      </w:r>
      <w:r>
        <w:rPr>
          <w:rFonts w:hint="eastAsia" w:ascii="仿宋_GB2312" w:hAnsi="仿宋_GB2312" w:eastAsia="仿宋_GB2312" w:cs="仿宋_GB2312"/>
          <w:sz w:val="32"/>
          <w:szCs w:val="32"/>
          <w:lang w:val="en-US" w:eastAsia="zh-CN"/>
        </w:rPr>
        <w:t>公务用车运行维护费</w:t>
      </w:r>
      <w:r>
        <w:rPr>
          <w:rFonts w:hint="default" w:ascii="仿宋_GB2312" w:hAnsi="仿宋_GB2312" w:eastAsia="仿宋_GB2312" w:cs="仿宋_GB2312"/>
          <w:sz w:val="32"/>
          <w:szCs w:val="32"/>
          <w:lang w:eastAsia="zh-CN"/>
          <w:woUserID w:val="1"/>
        </w:rPr>
        <w:t>。</w:t>
      </w:r>
    </w:p>
    <w:p>
      <w:pPr>
        <w:keepNext w:val="0"/>
        <w:keepLines w:val="0"/>
        <w:pageBreakBefore w:val="0"/>
        <w:widowControl w:val="0"/>
        <w:shd w:val="clear"/>
        <w:kinsoku/>
        <w:wordWrap/>
        <w:overflowPunct/>
        <w:topLinePunct w:val="0"/>
        <w:autoSpaceDE/>
        <w:autoSpaceDN/>
        <w:bidi w:val="0"/>
        <w:adjustRightInd/>
        <w:snapToGrid/>
        <w:spacing w:line="576" w:lineRule="exac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三）因公出国（境）经费</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因公出国（境）经费与2023年预算相比持平。</w:t>
      </w:r>
      <w:r>
        <w:rPr>
          <w:rFonts w:hint="default" w:ascii="仿宋_GB2312" w:hAnsi="仿宋_GB2312" w:eastAsia="仿宋_GB2312" w:cs="仿宋_GB2312"/>
          <w:sz w:val="32"/>
          <w:szCs w:val="32"/>
          <w:lang w:eastAsia="zh-CN"/>
          <w:woUserID w:val="1"/>
        </w:rPr>
        <w:t>2024年无</w:t>
      </w:r>
      <w:r>
        <w:rPr>
          <w:rFonts w:hint="eastAsia" w:ascii="仿宋_GB2312" w:hAnsi="仿宋_GB2312" w:eastAsia="仿宋_GB2312" w:cs="仿宋_GB2312"/>
          <w:sz w:val="32"/>
          <w:szCs w:val="32"/>
          <w:lang w:val="en-US" w:eastAsia="zh-CN"/>
          <w:woUserID w:val="1"/>
        </w:rPr>
        <w:t>因公出国（境）</w:t>
      </w:r>
      <w:r>
        <w:rPr>
          <w:rFonts w:hint="default" w:ascii="仿宋_GB2312" w:hAnsi="仿宋_GB2312" w:eastAsia="仿宋_GB2312" w:cs="仿宋_GB2312"/>
          <w:sz w:val="32"/>
          <w:szCs w:val="32"/>
          <w:lang w:eastAsia="zh-CN"/>
          <w:woUserID w:val="1"/>
        </w:rPr>
        <w:t>计划</w:t>
      </w:r>
      <w:r>
        <w:rPr>
          <w:rFonts w:hint="eastAsia" w:ascii="仿宋_GB2312" w:hAnsi="仿宋_GB2312" w:eastAsia="仿宋_GB2312" w:cs="仿宋_GB2312"/>
          <w:sz w:val="32"/>
          <w:szCs w:val="32"/>
          <w:lang w:val="en-US" w:eastAsia="zh-CN"/>
        </w:rPr>
        <w:t>。</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bookmarkStart w:id="14" w:name="_Toc15483"/>
      <w:r>
        <w:rPr>
          <w:rFonts w:hint="eastAsia" w:ascii="黑体" w:hAnsi="黑体" w:eastAsia="黑体" w:cs="黑体"/>
          <w:sz w:val="32"/>
          <w:szCs w:val="32"/>
          <w:lang w:val="en-US" w:eastAsia="zh-CN"/>
        </w:rPr>
        <w:t>八、政府性基金预算支出情况说明</w:t>
      </w:r>
      <w:bookmarkEnd w:id="14"/>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广元市图书馆2024年无政府性基金预算拨款安排的支出。</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bookmarkStart w:id="15" w:name="_Toc25769"/>
      <w:r>
        <w:rPr>
          <w:rFonts w:hint="eastAsia" w:ascii="黑体" w:hAnsi="黑体" w:eastAsia="黑体" w:cs="黑体"/>
          <w:sz w:val="32"/>
          <w:szCs w:val="32"/>
          <w:lang w:val="en-US" w:eastAsia="zh-CN"/>
        </w:rPr>
        <w:t>九、国有资本经营预算支出情况说明</w:t>
      </w:r>
      <w:bookmarkEnd w:id="15"/>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广元市图书馆2024年无国有资本经营预算拨款安排的支出。</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16" w:name="_Toc15372"/>
      <w:r>
        <w:rPr>
          <w:rFonts w:hint="eastAsia" w:ascii="黑体" w:hAnsi="黑体" w:eastAsia="黑体" w:cs="黑体"/>
          <w:sz w:val="32"/>
          <w:szCs w:val="32"/>
          <w:lang w:val="en-US" w:eastAsia="zh-CN"/>
        </w:rPr>
        <w:t>十、其他重要事项的情况说明</w:t>
      </w:r>
      <w:bookmarkEnd w:id="16"/>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（一）机关运行经费</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广元市图书馆为事业单位，按规定未使用机关运行的相关科目。</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（二）政府采购情况</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2024年，广元市图书馆安排政府采购预算0万元。</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（三）国有资产占有使用情况</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截至2023年底，广元市图书馆共有车辆0辆。单位无价值200万元以上的大型设备。</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w:t>
      </w:r>
      <w:r>
        <w:rPr>
          <w:rFonts w:hint="default" w:ascii="仿宋_GB2312" w:hAnsi="仿宋_GB2312" w:eastAsia="仿宋_GB2312" w:cs="仿宋_GB2312"/>
          <w:sz w:val="32"/>
          <w:szCs w:val="32"/>
          <w:lang w:eastAsia="zh-CN"/>
          <w:woUserID w:val="1"/>
        </w:rPr>
        <w:t>单位</w:t>
      </w:r>
      <w:r>
        <w:rPr>
          <w:rFonts w:hint="eastAsia" w:ascii="仿宋_GB2312" w:hAnsi="仿宋_GB2312" w:eastAsia="仿宋_GB2312" w:cs="仿宋_GB2312"/>
          <w:sz w:val="32"/>
          <w:szCs w:val="32"/>
          <w:lang w:val="en-US" w:eastAsia="zh-CN"/>
        </w:rPr>
        <w:t>预算未安排购置车辆及单位价值200万元以上大型设备。</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（四）绩效目标设置情况</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2024年广元市图书馆开展绩效目标管理的项目3个，涉及预算34.22万元。其中：特定目标类项目3个，涉及预算34.22万元。</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17" w:name="_Toc2829"/>
      <w:r>
        <w:rPr>
          <w:rFonts w:hint="eastAsia" w:ascii="黑体" w:hAnsi="黑体" w:eastAsia="黑体" w:cs="黑体"/>
          <w:sz w:val="32"/>
          <w:szCs w:val="32"/>
          <w:lang w:val="en-US" w:eastAsia="zh-CN"/>
        </w:rPr>
        <w:t>十一、名词解释</w:t>
      </w:r>
      <w:bookmarkEnd w:id="17"/>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（一）财政拨款收入</w:t>
      </w:r>
      <w:r>
        <w:rPr>
          <w:rFonts w:hint="default"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val="en-US" w:eastAsia="zh-CN"/>
        </w:rPr>
        <w:t>指市财政当年安排的财政预算收入。按现行管理制度</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部门预算中反映的财政拨款包括一般公共预算拨款和政府性基金预算拨款。</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（二）文化旅游体育与传媒支出（类）文化和旅游（款）图书馆（项）:</w:t>
      </w:r>
      <w:r>
        <w:rPr>
          <w:rFonts w:hint="eastAsia" w:ascii="仿宋_GB2312" w:hAnsi="仿宋_GB2312" w:eastAsia="仿宋_GB2312" w:cs="仿宋_GB2312"/>
          <w:sz w:val="32"/>
          <w:szCs w:val="32"/>
          <w:lang w:val="en-US" w:eastAsia="zh-CN"/>
        </w:rPr>
        <w:t>指图书馆用于保障机构正常运行、开展日常工作的基本及项目支出。</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（三）社会保障和就业（类）行政事业单位养老支出（款）机关事业单位基本养老保险缴费支出（项）：</w:t>
      </w:r>
      <w:r>
        <w:rPr>
          <w:rFonts w:hint="eastAsia" w:ascii="仿宋_GB2312" w:hAnsi="仿宋_GB2312" w:eastAsia="仿宋_GB2312" w:cs="仿宋_GB2312"/>
          <w:sz w:val="32"/>
          <w:szCs w:val="32"/>
          <w:lang w:val="en-US" w:eastAsia="zh-CN"/>
        </w:rPr>
        <w:t>指部门实施养老保险制度由单位缴纳的养老保险的支出。</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（四）社会保障和就业（类）其他社会保障和就业支出（款）其他社会保障和就业支出（项）：</w:t>
      </w:r>
      <w:r>
        <w:rPr>
          <w:rFonts w:hint="eastAsia" w:ascii="仿宋_GB2312" w:hAnsi="仿宋_GB2312" w:eastAsia="仿宋_GB2312" w:cs="仿宋_GB2312"/>
          <w:sz w:val="32"/>
          <w:szCs w:val="32"/>
          <w:lang w:val="en-US" w:eastAsia="zh-CN"/>
        </w:rPr>
        <w:t>指由单位缴纳的失业和工伤保险支出。</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（五）卫生健康（类）行政事业单位医疗（款）事业单位医疗（项）：</w:t>
      </w:r>
      <w:r>
        <w:rPr>
          <w:rFonts w:hint="eastAsia" w:ascii="仿宋_GB2312" w:hAnsi="仿宋_GB2312" w:eastAsia="仿宋_GB2312" w:cs="仿宋_GB2312"/>
          <w:sz w:val="32"/>
          <w:szCs w:val="32"/>
          <w:lang w:val="en-US" w:eastAsia="zh-CN"/>
        </w:rPr>
        <w:t>指事业单位用于单位应缴纳基本医疗保险支出。</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（六）住房保障（类）住房改革支出（款）住房公积金（项）：</w:t>
      </w:r>
      <w:r>
        <w:rPr>
          <w:rFonts w:hint="eastAsia" w:ascii="仿宋_GB2312" w:hAnsi="仿宋_GB2312" w:eastAsia="仿宋_GB2312" w:cs="仿宋_GB2312"/>
          <w:sz w:val="32"/>
          <w:szCs w:val="32"/>
          <w:lang w:val="en-US" w:eastAsia="zh-CN"/>
        </w:rPr>
        <w:t>指按照《住房公积金管理条例》的规定，由单位及其在职职工缴存的长期住房储金。</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（七）基本支出：</w:t>
      </w:r>
      <w:r>
        <w:rPr>
          <w:rFonts w:hint="eastAsia" w:ascii="仿宋_GB2312" w:hAnsi="仿宋_GB2312" w:eastAsia="仿宋_GB2312" w:cs="仿宋_GB2312"/>
          <w:sz w:val="32"/>
          <w:szCs w:val="32"/>
          <w:lang w:val="en-US" w:eastAsia="zh-CN"/>
        </w:rPr>
        <w:t>指为保证机构正常运转，完成日常工作任务而发生的人员支出和公用支出。</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（八）项目支出：</w:t>
      </w:r>
      <w:r>
        <w:rPr>
          <w:rFonts w:hint="eastAsia" w:ascii="仿宋_GB2312" w:hAnsi="仿宋_GB2312" w:eastAsia="仿宋_GB2312" w:cs="仿宋_GB2312"/>
          <w:sz w:val="32"/>
          <w:szCs w:val="32"/>
          <w:lang w:val="en-US" w:eastAsia="zh-CN"/>
        </w:rPr>
        <w:t>指在基本支出之外为完成特定行政任务和事业发展目标所发生的支出。</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（九）“三公”经费：</w:t>
      </w:r>
      <w:r>
        <w:rPr>
          <w:rFonts w:hint="eastAsia" w:ascii="仿宋_GB2312" w:hAnsi="仿宋_GB2312" w:eastAsia="仿宋_GB2312" w:cs="仿宋_GB2312"/>
          <w:sz w:val="32"/>
          <w:szCs w:val="32"/>
          <w:lang w:val="en-US" w:eastAsia="zh-CN"/>
        </w:rPr>
        <w:t>纳入市级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r>
        <w:rPr>
          <w:rFonts w:hint="default" w:ascii="仿宋_GB2312" w:hAnsi="仿宋_GB2312" w:eastAsia="仿宋_GB2312" w:cs="仿宋_GB2312"/>
          <w:sz w:val="32"/>
          <w:szCs w:val="32"/>
          <w:lang w:eastAsia="zh-CN"/>
          <w:woUserID w:val="1"/>
        </w:rPr>
        <w:t>单位</w:t>
      </w:r>
      <w:r>
        <w:rPr>
          <w:rFonts w:hint="eastAsia" w:ascii="仿宋_GB2312" w:hAnsi="仿宋_GB2312" w:eastAsia="仿宋_GB2312" w:cs="仿宋_GB2312"/>
          <w:sz w:val="32"/>
          <w:szCs w:val="32"/>
          <w:lang w:val="en-US" w:eastAsia="zh-CN"/>
        </w:rPr>
        <w:t>预算公开表</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sectPr>
      <w:footerReference r:id="rId3" w:type="default"/>
      <w:pgSz w:w="11906" w:h="16838"/>
      <w:pgMar w:top="2098" w:right="1474" w:bottom="1984" w:left="1587" w:header="720" w:footer="155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Liberation Sans">
    <w:altName w:val="Arial"/>
    <w:panose1 w:val="020B0704020202090204"/>
    <w:charset w:val="00"/>
    <w:family w:val="swiss"/>
    <w:pitch w:val="default"/>
    <w:sig w:usb0="00000000" w:usb1="00000000" w:usb2="00000000" w:usb3="00000000" w:csb0="6000009F" w:csb1="DFD70000"/>
  </w:font>
  <w:font w:name="Bookman Old Style">
    <w:altName w:val="Times New Roman"/>
    <w:panose1 w:val="02050604050505020204"/>
    <w:charset w:val="00"/>
    <w:family w:val="auto"/>
    <w:pitch w:val="default"/>
    <w:sig w:usb0="00000000" w:usb1="00000000" w:usb2="00000000" w:usb3="00000000" w:csb0="2000009F" w:csb1="DFD70000"/>
  </w:font>
  <w:font w:name="方正小标宋简体">
    <w:altName w:val="Times New Roman"/>
    <w:panose1 w:val="02010601030101010101"/>
    <w:charset w:val="86"/>
    <w:family w:val="auto"/>
    <w:pitch w:val="default"/>
    <w:sig w:usb0="00000000" w:usb1="00000000" w:usb2="00000000" w:usb3="00000000" w:csb0="00040000" w:csb1="00000000"/>
  </w:font>
  <w:font w:name="仿宋_GB2312">
    <w:altName w:val="Times New Roman"/>
    <w:panose1 w:val="02010609030101010101"/>
    <w:charset w:val="86"/>
    <w:family w:val="auto"/>
    <w:pitch w:val="default"/>
    <w:sig w:usb0="00000000" w:usb1="00000000" w:usb2="00000000" w:usb3="00000000" w:csb0="00040000" w:csb1="00000000"/>
  </w:font>
  <w:font w:name="楷体_GB2312">
    <w:altName w:val="汉仪楷体KW"/>
    <w:panose1 w:val="02010609030101010101"/>
    <w:charset w:val="86"/>
    <w:family w:val="auto"/>
    <w:pitch w:val="default"/>
    <w:sig w:usb0="00000000" w:usb1="00000000" w:usb2="00000000" w:usb3="00000000" w:csb0="00040000" w:csb1="00000000"/>
  </w:font>
  <w:font w:name="方正小标宋_GBK">
    <w:altName w:val="Times New Roman"/>
    <w:panose1 w:val="00000000000000000000"/>
    <w:charset w:val="00"/>
    <w:family w:val="auto"/>
    <w:pitch w:val="default"/>
    <w:sig w:usb0="00000000" w:usb1="00000000" w:usb2="00000000" w:usb3="00000000" w:csb0="00000000" w:csb1="00000000"/>
  </w:font>
  <w:font w:name="方正仿宋_GBK">
    <w:altName w:val="Times New Roman"/>
    <w:panose1 w:val="00000000000000000000"/>
    <w:charset w:val="00"/>
    <w:family w:val="auto"/>
    <w:pitch w:val="default"/>
    <w:sig w:usb0="00000000" w:usb1="00000000" w:usb2="00000000" w:usb3="00000000" w:csb0="00000000" w:csb1="00000000"/>
  </w:font>
  <w:font w:name="汉仪楷体KW">
    <w:panose1 w:val="00020600040101010101"/>
    <w:charset w:val="86"/>
    <w:family w:val="auto"/>
    <w:pitch w:val="default"/>
    <w:sig w:usb0="A00002BF" w:usb1="18EF7CFA" w:usb2="00000016" w:usb3="00000000" w:csb0="00040000" w:csb1="00000000"/>
  </w:font>
  <w:font w:name="华文中宋">
    <w:panose1 w:val="02010600040101010101"/>
    <w:charset w:val="86"/>
    <w:family w:val="auto"/>
    <w:pitch w:val="default"/>
    <w:sig w:usb0="00000287" w:usb1="080F0000" w:usb2="00000000" w:usb3="00000000" w:csb0="0004009F" w:csb1="DFD70000"/>
  </w:font>
  <w:font w:name="乐见体">
    <w:panose1 w:val="02020400000000000000"/>
    <w:charset w:val="86"/>
    <w:family w:val="auto"/>
    <w:pitch w:val="default"/>
    <w:sig w:usb0="80000003" w:usb1="08012000" w:usb2="00000012" w:usb3="00000000" w:csb0="00040001" w:csb1="00000000"/>
  </w:font>
  <w:font w:name="仿宋_GB2312">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CD24F2"/>
    <w:multiLevelType w:val="singleLevel"/>
    <w:tmpl w:val="29CD24F2"/>
    <w:lvl w:ilvl="0" w:tentative="0">
      <w:start w:val="2"/>
      <w:numFmt w:val="chineseCounting"/>
      <w:suff w:val="nothing"/>
      <w:lvlText w:val="（%1）"/>
      <w:lvlJc w:val="left"/>
      <w:rPr>
        <w:rFonts w:hint="eastAsia"/>
      </w:rPr>
    </w:lvl>
  </w:abstractNum>
  <w:abstractNum w:abstractNumId="1">
    <w:nsid w:val="5BFCE1D6"/>
    <w:multiLevelType w:val="singleLevel"/>
    <w:tmpl w:val="5BFCE1D6"/>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0"/>
  <w:displayVerticalDrawingGridEvery w:val="2"/>
  <w:doNotUseMarginsForDrawingGridOrigin w:val="1"/>
  <w:drawingGridHorizontalOrigin w:val="0"/>
  <w:drawingGridVerticalOrigin w:val="0"/>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5YjQ2NDQwMzg5YjY4NTkxYzFmODVlZGI3YzA3MTMifQ=="/>
  </w:docVars>
  <w:rsids>
    <w:rsidRoot w:val="00000000"/>
    <w:rsid w:val="00793554"/>
    <w:rsid w:val="012352D1"/>
    <w:rsid w:val="1F7BF06F"/>
    <w:rsid w:val="1FEE4B73"/>
    <w:rsid w:val="23CE9849"/>
    <w:rsid w:val="305A4B47"/>
    <w:rsid w:val="30943A70"/>
    <w:rsid w:val="30DE03F8"/>
    <w:rsid w:val="365F22BA"/>
    <w:rsid w:val="39F304DD"/>
    <w:rsid w:val="4B24166D"/>
    <w:rsid w:val="54244390"/>
    <w:rsid w:val="54662A63"/>
    <w:rsid w:val="58064E12"/>
    <w:rsid w:val="5B37D0BD"/>
    <w:rsid w:val="5BFEE015"/>
    <w:rsid w:val="5F3A53B0"/>
    <w:rsid w:val="638C79CE"/>
    <w:rsid w:val="63EDCF55"/>
    <w:rsid w:val="63FBFBCF"/>
    <w:rsid w:val="669360FD"/>
    <w:rsid w:val="68FF6A83"/>
    <w:rsid w:val="69D27F3F"/>
    <w:rsid w:val="6FBBC9CF"/>
    <w:rsid w:val="72BDE561"/>
    <w:rsid w:val="77FE3ED9"/>
    <w:rsid w:val="78462278"/>
    <w:rsid w:val="7997EA6C"/>
    <w:rsid w:val="7AEAE675"/>
    <w:rsid w:val="7BAFCE5D"/>
    <w:rsid w:val="7D46598C"/>
    <w:rsid w:val="7DFB240B"/>
    <w:rsid w:val="7E0935ED"/>
    <w:rsid w:val="7FCF2AF7"/>
    <w:rsid w:val="9FEF033D"/>
    <w:rsid w:val="A27FF1E5"/>
    <w:rsid w:val="ACA30D02"/>
    <w:rsid w:val="AFDEB5A7"/>
    <w:rsid w:val="AFEA7FBF"/>
    <w:rsid w:val="B83F4767"/>
    <w:rsid w:val="BF930F07"/>
    <w:rsid w:val="BFCE8436"/>
    <w:rsid w:val="C3F7EB7A"/>
    <w:rsid w:val="CFF5FEEC"/>
    <w:rsid w:val="D3DD9064"/>
    <w:rsid w:val="D6F76A0C"/>
    <w:rsid w:val="D79FE93E"/>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caption"/>
    <w:basedOn w:val="1"/>
    <w:next w:val="1"/>
    <w:qFormat/>
    <w:uiPriority w:val="0"/>
    <w:pPr>
      <w:widowControl w:val="0"/>
      <w:suppressLineNumbers/>
      <w:suppressAutoHyphens/>
      <w:spacing w:before="120" w:after="120"/>
    </w:pPr>
    <w:rPr>
      <w:i/>
      <w:iCs/>
      <w:sz w:val="24"/>
      <w:szCs w:val="24"/>
    </w:rPr>
  </w:style>
  <w:style w:type="paragraph" w:styleId="3">
    <w:name w:val="Body Text"/>
    <w:basedOn w:val="1"/>
    <w:qFormat/>
    <w:uiPriority w:val="0"/>
    <w:pPr>
      <w:spacing w:before="0" w:after="140" w:line="276" w:lineRule="auto"/>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paragraph" w:styleId="7">
    <w:name w:val="List"/>
    <w:basedOn w:val="3"/>
    <w:qFormat/>
    <w:uiPriority w:val="0"/>
  </w:style>
  <w:style w:type="paragraph" w:styleId="8">
    <w:name w:val="toc 2"/>
    <w:basedOn w:val="1"/>
    <w:next w:val="1"/>
    <w:uiPriority w:val="0"/>
    <w:pPr>
      <w:ind w:left="420" w:leftChars="200"/>
    </w:pPr>
  </w:style>
  <w:style w:type="paragraph" w:styleId="9">
    <w:name w:val="Normal (Web)"/>
    <w:basedOn w:val="1"/>
    <w:qFormat/>
    <w:uiPriority w:val="0"/>
    <w:rPr>
      <w:sz w:val="24"/>
    </w:rPr>
  </w:style>
  <w:style w:type="character" w:customStyle="1" w:styleId="12">
    <w:name w:val="默认段落字体1"/>
    <w:qFormat/>
    <w:uiPriority w:val="0"/>
  </w:style>
  <w:style w:type="paragraph" w:customStyle="1" w:styleId="13">
    <w:name w:val="Heading"/>
    <w:basedOn w:val="1"/>
    <w:next w:val="3"/>
    <w:qFormat/>
    <w:uiPriority w:val="0"/>
    <w:pPr>
      <w:keepNext/>
      <w:widowControl w:val="0"/>
      <w:suppressAutoHyphens/>
      <w:spacing w:before="240" w:after="120"/>
    </w:pPr>
    <w:rPr>
      <w:rFonts w:ascii="Liberation Sans" w:hAnsi="Liberation Sans" w:eastAsia="Bookman Old Style" w:cs="Bookman Old Style"/>
      <w:sz w:val="28"/>
      <w:szCs w:val="28"/>
      <w:lang w:bidi="ar-SA"/>
    </w:rPr>
  </w:style>
  <w:style w:type="paragraph" w:customStyle="1" w:styleId="14">
    <w:name w:val="Index"/>
    <w:basedOn w:val="1"/>
    <w:qFormat/>
    <w:uiPriority w:val="0"/>
    <w:pPr>
      <w:widowControl w:val="0"/>
      <w:suppressLineNumbers/>
      <w:suppressAutoHyphens/>
    </w:pPr>
  </w:style>
  <w:style w:type="paragraph" w:customStyle="1" w:styleId="15">
    <w:name w:val="WPSOffice手动目录 1"/>
    <w:uiPriority w:val="0"/>
    <w:pPr>
      <w:ind w:leftChars="0"/>
    </w:pPr>
    <w:rPr>
      <w:rFonts w:ascii="Times New Roman" w:hAnsi="Times New Roman" w:eastAsia="宋体" w:cs="Times New Roman"/>
      <w:sz w:val="20"/>
      <w:szCs w:val="20"/>
    </w:rPr>
  </w:style>
  <w:style w:type="paragraph" w:customStyle="1" w:styleId="16">
    <w:name w:val="WPSOffice手动目录 2"/>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Lines>1</Lines>
  <Paragraphs>1</Paragraphs>
  <TotalTime>0</TotalTime>
  <ScaleCrop>false</ScaleCrop>
  <LinksUpToDate>false</LinksUpToDate>
  <Application>WPS Office WWO_wpscloud_20240126182319-534a0df1c3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2018-11-29T17:47:00Z</dcterms:created>
  <dc:creator>admin</dc:creator>
  <cp:lastModifiedBy>ChinaKow</cp:lastModifiedBy>
  <dcterms:modified xsi:type="dcterms:W3CDTF">2024-02-20T22:28:11Z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DAEC65B9A00D4605B81D838B8CEC1D6E_13</vt:lpwstr>
  </property>
</Properties>
</file>