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auto"/>
          <w:sz w:val="72"/>
          <w:szCs w:val="72"/>
          <w:highlight w:val="none"/>
        </w:rPr>
      </w:pPr>
      <w:bookmarkStart w:id="0" w:name="_Toc15306267"/>
    </w:p>
    <w:bookmarkEnd w:id="0"/>
    <w:p>
      <w:pPr>
        <w:adjustRightInd w:val="0"/>
        <w:snapToGrid w:val="0"/>
        <w:spacing w:line="360" w:lineRule="auto"/>
        <w:ind w:firstLine="2880" w:firstLineChars="400"/>
        <w:outlineLvl w:val="0"/>
        <w:rPr>
          <w:rFonts w:ascii="黑体" w:hAnsi="黑体" w:eastAsia="黑体" w:cs="黑体"/>
          <w:color w:val="000000"/>
          <w:sz w:val="72"/>
          <w:szCs w:val="72"/>
        </w:rPr>
      </w:pPr>
      <w:bookmarkStart w:id="1" w:name="_Toc15396597"/>
      <w:bookmarkStart w:id="2" w:name="_Toc15396475"/>
      <w:bookmarkStart w:id="3" w:name="_Toc21744"/>
      <w:bookmarkStart w:id="4" w:name="_Toc15378441"/>
      <w:bookmarkStart w:id="5" w:name="_Toc15377425"/>
      <w:bookmarkStart w:id="6" w:name="_Toc15377193"/>
      <w:r>
        <w:rPr>
          <w:rFonts w:ascii="黑体" w:hAnsi="黑体" w:eastAsia="黑体" w:cs="黑体"/>
          <w:color w:val="000000"/>
          <w:sz w:val="72"/>
          <w:szCs w:val="72"/>
        </w:rPr>
        <w:t>202</w:t>
      </w:r>
      <w:r>
        <w:rPr>
          <w:rFonts w:hint="eastAsia" w:ascii="黑体" w:hAnsi="黑体" w:eastAsia="黑体" w:cs="黑体"/>
          <w:color w:val="000000"/>
          <w:sz w:val="72"/>
          <w:szCs w:val="72"/>
          <w:lang w:val="en-US" w:eastAsia="zh-CN"/>
        </w:rPr>
        <w:t>2</w:t>
      </w:r>
      <w:r>
        <w:rPr>
          <w:rFonts w:hint="eastAsia" w:ascii="黑体" w:hAnsi="黑体" w:eastAsia="黑体" w:cs="黑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黑体" w:hAnsi="黑体" w:eastAsia="黑体" w:cs="黑体"/>
          <w:color w:val="000000"/>
          <w:sz w:val="72"/>
          <w:szCs w:val="72"/>
        </w:rPr>
      </w:pPr>
      <w:bookmarkStart w:id="7" w:name="_Toc15830"/>
      <w:bookmarkStart w:id="8" w:name="_Toc15378442"/>
      <w:bookmarkStart w:id="9" w:name="_Toc15377194"/>
      <w:bookmarkStart w:id="10" w:name="_Toc15396598"/>
      <w:bookmarkStart w:id="11" w:name="_Toc15396476"/>
      <w:bookmarkStart w:id="12" w:name="_Toc15377426"/>
      <w:bookmarkStart w:id="13" w:name="_Toc15306268"/>
      <w:r>
        <w:rPr>
          <w:rFonts w:hint="eastAsia" w:ascii="黑体" w:hAnsi="黑体" w:eastAsia="黑体" w:cs="黑体"/>
          <w:color w:val="000000"/>
          <w:sz w:val="72"/>
          <w:szCs w:val="72"/>
        </w:rPr>
        <w:t>皇泽寺博物馆</w:t>
      </w:r>
      <w:bookmarkEnd w:id="7"/>
    </w:p>
    <w:p>
      <w:pPr>
        <w:adjustRightInd w:val="0"/>
        <w:snapToGrid w:val="0"/>
        <w:spacing w:line="360" w:lineRule="auto"/>
        <w:jc w:val="center"/>
        <w:outlineLvl w:val="0"/>
        <w:rPr>
          <w:rFonts w:ascii="黑体" w:hAnsi="黑体" w:eastAsia="黑体" w:cs="黑体"/>
          <w:color w:val="000000"/>
          <w:sz w:val="72"/>
          <w:szCs w:val="72"/>
        </w:rPr>
      </w:pPr>
      <w:bookmarkStart w:id="14" w:name="_Toc28931"/>
      <w:r>
        <w:rPr>
          <w:rFonts w:hint="eastAsia" w:ascii="黑体" w:hAnsi="黑体" w:eastAsia="黑体" w:cs="黑体"/>
          <w:color w:val="000000"/>
          <w:sz w:val="72"/>
          <w:szCs w:val="72"/>
          <w:lang w:val="en-US" w:eastAsia="zh-CN"/>
        </w:rPr>
        <w:t>单位</w:t>
      </w:r>
      <w:r>
        <w:rPr>
          <w:rFonts w:hint="eastAsia" w:ascii="黑体" w:hAnsi="黑体" w:eastAsia="黑体" w:cs="黑体"/>
          <w:color w:val="000000"/>
          <w:sz w:val="72"/>
          <w:szCs w:val="72"/>
        </w:rPr>
        <w:t>决算</w:t>
      </w:r>
      <w:bookmarkEnd w:id="8"/>
      <w:bookmarkEnd w:id="9"/>
      <w:bookmarkEnd w:id="10"/>
      <w:bookmarkEnd w:id="11"/>
      <w:bookmarkEnd w:id="12"/>
      <w:bookmarkEnd w:id="13"/>
      <w:bookmarkEnd w:id="14"/>
    </w:p>
    <w:p>
      <w:pPr>
        <w:pStyle w:val="2"/>
        <w:spacing w:before="93"/>
        <w:jc w:val="center"/>
        <w:rPr>
          <w:rFonts w:ascii="黑体" w:hAnsi="黑体" w:eastAsia="黑体" w:cs="黑体"/>
          <w:color w:val="000000"/>
          <w:sz w:val="72"/>
          <w:szCs w:val="72"/>
        </w:rPr>
      </w:pPr>
      <w:r>
        <w:rPr>
          <w:rFonts w:hint="eastAsia" w:ascii="黑体" w:hAnsi="黑体" w:eastAsia="黑体" w:cs="黑体"/>
          <w:color w:val="000000"/>
          <w:sz w:val="72"/>
          <w:szCs w:val="72"/>
        </w:rPr>
        <w:t>编</w:t>
      </w:r>
    </w:p>
    <w:p>
      <w:pPr>
        <w:pStyle w:val="2"/>
        <w:spacing w:before="93"/>
        <w:jc w:val="center"/>
        <w:rPr>
          <w:rFonts w:ascii="黑体" w:hAnsi="黑体" w:eastAsia="黑体" w:cs="黑体"/>
          <w:color w:val="000000"/>
          <w:sz w:val="72"/>
          <w:szCs w:val="72"/>
        </w:rPr>
      </w:pPr>
      <w:r>
        <w:rPr>
          <w:rFonts w:hint="eastAsia" w:ascii="黑体" w:hAnsi="黑体" w:eastAsia="黑体" w:cs="黑体"/>
          <w:color w:val="000000"/>
          <w:sz w:val="72"/>
          <w:szCs w:val="72"/>
        </w:rPr>
        <w:t>制</w:t>
      </w:r>
    </w:p>
    <w:p>
      <w:pPr>
        <w:pStyle w:val="2"/>
        <w:spacing w:before="93"/>
        <w:jc w:val="center"/>
        <w:rPr>
          <w:rFonts w:ascii="黑体" w:hAnsi="黑体" w:eastAsia="黑体" w:cs="黑体"/>
          <w:color w:val="000000"/>
          <w:sz w:val="72"/>
          <w:szCs w:val="72"/>
        </w:rPr>
      </w:pPr>
      <w:r>
        <w:rPr>
          <w:rFonts w:hint="eastAsia" w:ascii="黑体" w:hAnsi="黑体" w:eastAsia="黑体" w:cs="黑体"/>
          <w:color w:val="000000"/>
          <w:sz w:val="72"/>
          <w:szCs w:val="72"/>
        </w:rPr>
        <w:t>说</w:t>
      </w:r>
    </w:p>
    <w:p>
      <w:pPr>
        <w:pStyle w:val="2"/>
        <w:spacing w:before="93"/>
        <w:jc w:val="center"/>
        <w:rPr>
          <w:rFonts w:ascii="方正小标宋简体" w:hAnsi="宋体" w:eastAsia="方正小标宋简体"/>
          <w:color w:val="000000"/>
          <w:sz w:val="72"/>
          <w:szCs w:val="72"/>
        </w:rPr>
      </w:pPr>
      <w:r>
        <w:rPr>
          <w:rFonts w:hint="eastAsia" w:ascii="黑体" w:hAnsi="黑体" w:eastAsia="黑体" w:cs="黑体"/>
          <w:color w:val="000000"/>
          <w:sz w:val="72"/>
          <w:szCs w:val="72"/>
        </w:rPr>
        <w:t>明</w:t>
      </w:r>
    </w:p>
    <w:p>
      <w:pPr>
        <w:widowControl/>
        <w:jc w:val="center"/>
        <w:rPr>
          <w:rFonts w:ascii="黑体" w:hAnsi="黑体" w:eastAsia="黑体" w:cstheme="minorBidi"/>
          <w:color w:val="auto"/>
          <w:sz w:val="28"/>
          <w:szCs w:val="28"/>
          <w:highlight w:val="none"/>
        </w:rPr>
      </w:pPr>
      <w:r>
        <w:rPr>
          <w:rFonts w:ascii="方正小标宋简体" w:hAnsi="宋体" w:eastAsia="方正小标宋简体"/>
          <w:sz w:val="36"/>
          <w:szCs w:val="36"/>
        </w:rPr>
        <w:br w:type="page"/>
      </w:r>
      <w:r>
        <w:rPr>
          <w:rFonts w:hint="eastAsia" w:ascii="黑体" w:hAnsi="黑体" w:eastAsia="黑体"/>
          <w:color w:val="auto"/>
          <w:sz w:val="48"/>
          <w:szCs w:val="48"/>
          <w:highlight w:val="none"/>
        </w:rPr>
        <w:t>目录</w:t>
      </w:r>
    </w:p>
    <w:p>
      <w:pPr>
        <w:pStyle w:val="10"/>
        <w:rPr>
          <w:rFonts w:hint="eastAsia"/>
          <w:color w:val="auto"/>
          <w:sz w:val="24"/>
          <w:highlight w:val="none"/>
          <w:lang w:val="en-US" w:eastAsia="zh-CN"/>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16</w:t>
      </w:r>
      <w:bookmarkStart w:id="108" w:name="_GoBack"/>
      <w:bookmarkEnd w:id="108"/>
      <w:r>
        <w:rPr>
          <w:rFonts w:hint="eastAsia"/>
          <w:color w:val="auto"/>
          <w:highlight w:val="none"/>
        </w:rPr>
        <w:t>日</w:t>
      </w:r>
    </w:p>
    <w:sdt>
      <w:sdtPr>
        <w:rPr>
          <w:rFonts w:ascii="宋体" w:hAnsi="宋体" w:eastAsia="宋体" w:cs="Times New Roman"/>
          <w:kern w:val="2"/>
          <w:sz w:val="21"/>
          <w:szCs w:val="24"/>
          <w:lang w:val="en-US" w:eastAsia="zh-CN" w:bidi="ar-SA"/>
        </w:rPr>
        <w:id w:val="147464777"/>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306"/>
              <w:tab w:val="clear" w:pos="8296"/>
            </w:tabs>
            <w:jc w:val="both"/>
          </w:pPr>
          <w:r>
            <w:fldChar w:fldCharType="begin"/>
          </w:r>
          <w:r>
            <w:instrText xml:space="preserve">TOC \o "1-3" \h \u </w:instrText>
          </w:r>
          <w:r>
            <w:fldChar w:fldCharType="separate"/>
          </w:r>
          <w:r>
            <w:fldChar w:fldCharType="begin"/>
          </w:r>
          <w:r>
            <w:instrText xml:space="preserve"> HYPERLINK \l _Toc12881 </w:instrText>
          </w:r>
          <w:r>
            <w:fldChar w:fldCharType="separate"/>
          </w:r>
          <w:r>
            <w:rPr>
              <w:rFonts w:hint="eastAsia" w:ascii="黑体" w:hAnsi="黑体" w:eastAsia="黑体"/>
              <w:highlight w:val="none"/>
            </w:rPr>
            <w:t>第一部分</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_Toc12881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_Toc12440 </w:instrText>
          </w:r>
          <w:r>
            <w:fldChar w:fldCharType="separate"/>
          </w:r>
          <w:r>
            <w:rPr>
              <w:rFonts w:hint="eastAsia" w:ascii="黑体" w:hAnsi="黑体" w:eastAsia="黑体"/>
              <w:bCs w:val="0"/>
              <w:lang w:eastAsia="zh-CN"/>
            </w:rPr>
            <w:t>一、</w:t>
          </w:r>
          <w:r>
            <w:rPr>
              <w:rFonts w:hint="eastAsia" w:ascii="黑体" w:hAnsi="黑体" w:eastAsia="黑体"/>
              <w:bCs w:val="0"/>
              <w:highlight w:val="none"/>
              <w:lang w:eastAsia="zh-CN"/>
            </w:rPr>
            <w:t>主要职责</w:t>
          </w:r>
          <w:r>
            <w:tab/>
          </w:r>
          <w:r>
            <w:fldChar w:fldCharType="begin"/>
          </w:r>
          <w:r>
            <w:instrText xml:space="preserve"> PAGEREF _Toc12440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_Toc1958 </w:instrText>
          </w:r>
          <w:r>
            <w:fldChar w:fldCharType="separate"/>
          </w:r>
          <w:r>
            <w:rPr>
              <w:rFonts w:hint="eastAsia" w:ascii="黑体" w:hAnsi="黑体" w:eastAsia="黑体"/>
              <w:lang w:val="en-US" w:eastAsia="zh-CN"/>
            </w:rPr>
            <w:t>二、</w:t>
          </w:r>
          <w:r>
            <w:rPr>
              <w:rFonts w:hint="eastAsia" w:ascii="黑体" w:hAnsi="黑体" w:eastAsia="黑体"/>
              <w:highlight w:val="none"/>
              <w:lang w:val="en-US" w:eastAsia="zh-CN"/>
            </w:rPr>
            <w:t>机构设置</w:t>
          </w:r>
          <w:r>
            <w:tab/>
          </w:r>
          <w:r>
            <w:fldChar w:fldCharType="begin"/>
          </w:r>
          <w:r>
            <w:instrText xml:space="preserve"> PAGEREF _Toc1958 \h </w:instrText>
          </w:r>
          <w:r>
            <w:fldChar w:fldCharType="separate"/>
          </w:r>
          <w:r>
            <w:t>1</w:t>
          </w:r>
          <w:r>
            <w:fldChar w:fldCharType="end"/>
          </w:r>
          <w:r>
            <w:fldChar w:fldCharType="end"/>
          </w:r>
        </w:p>
        <w:p>
          <w:pPr>
            <w:pStyle w:val="10"/>
            <w:tabs>
              <w:tab w:val="right" w:leader="dot" w:pos="8306"/>
              <w:tab w:val="clear" w:pos="8296"/>
            </w:tabs>
          </w:pPr>
          <w:r>
            <w:fldChar w:fldCharType="begin"/>
          </w:r>
          <w:r>
            <w:instrText xml:space="preserve"> HYPERLINK \l _Toc28975 </w:instrText>
          </w:r>
          <w:r>
            <w:fldChar w:fldCharType="separate"/>
          </w:r>
          <w:r>
            <w:rPr>
              <w:rFonts w:hint="eastAsia" w:ascii="黑体" w:hAnsi="黑体" w:eastAsia="黑体"/>
              <w:bCs/>
              <w:highlight w:val="none"/>
            </w:rPr>
            <w:t>第二部分</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_Toc28975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_Toc19686 </w:instrText>
          </w:r>
          <w:r>
            <w:fldChar w:fldCharType="separate"/>
          </w:r>
          <w:r>
            <w:rPr>
              <w:rFonts w:hint="default" w:ascii="黑体" w:hAnsi="黑体" w:eastAsia="黑体"/>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_Toc19686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_Toc13238 </w:instrText>
          </w:r>
          <w:r>
            <w:fldChar w:fldCharType="separate"/>
          </w:r>
          <w:r>
            <w:rPr>
              <w:rFonts w:hint="default" w:ascii="黑体" w:hAnsi="黑体" w:eastAsia="黑体"/>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_Toc13238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_Toc18525 </w:instrText>
          </w:r>
          <w:r>
            <w:fldChar w:fldCharType="separate"/>
          </w:r>
          <w:r>
            <w:rPr>
              <w:rFonts w:hint="default" w:ascii="黑体" w:hAnsi="黑体" w:eastAsia="黑体"/>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_Toc18525 \h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_Toc29469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_Toc29469 \h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_Toc20740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_Toc20740 \h </w:instrText>
          </w:r>
          <w:r>
            <w:fldChar w:fldCharType="separate"/>
          </w:r>
          <w:r>
            <w:t>4</w:t>
          </w:r>
          <w:r>
            <w:fldChar w:fldCharType="end"/>
          </w:r>
          <w:r>
            <w:fldChar w:fldCharType="end"/>
          </w:r>
        </w:p>
        <w:p>
          <w:pPr>
            <w:pStyle w:val="11"/>
            <w:tabs>
              <w:tab w:val="right" w:leader="dot" w:pos="8306"/>
              <w:tab w:val="clear" w:pos="8296"/>
            </w:tabs>
          </w:pPr>
          <w:r>
            <w:fldChar w:fldCharType="begin"/>
          </w:r>
          <w:r>
            <w:instrText xml:space="preserve"> HYPERLINK \l _Toc18847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_Toc18847 \h </w:instrText>
          </w:r>
          <w:r>
            <w:fldChar w:fldCharType="separate"/>
          </w:r>
          <w:r>
            <w:t>6</w:t>
          </w:r>
          <w:r>
            <w:fldChar w:fldCharType="end"/>
          </w:r>
          <w:r>
            <w:fldChar w:fldCharType="end"/>
          </w:r>
        </w:p>
        <w:p>
          <w:pPr>
            <w:pStyle w:val="11"/>
            <w:tabs>
              <w:tab w:val="right" w:leader="dot" w:pos="8306"/>
              <w:tab w:val="clear" w:pos="8296"/>
            </w:tabs>
          </w:pPr>
          <w:r>
            <w:fldChar w:fldCharType="begin"/>
          </w:r>
          <w:r>
            <w:instrText xml:space="preserve"> HYPERLINK \l _Toc27063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_Toc27063 \h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_Toc16650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_Toc16650 \h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_Toc32541 </w:instrText>
          </w:r>
          <w:r>
            <w:fldChar w:fldCharType="separate"/>
          </w:r>
          <w:r>
            <w:rPr>
              <w:rFonts w:hint="eastAsia" w:ascii="黑体" w:hAnsi="黑体" w:eastAsia="黑体"/>
            </w:rPr>
            <w:t>九、</w:t>
          </w:r>
          <w:r>
            <w:rPr>
              <w:rFonts w:hint="eastAsia" w:ascii="黑体" w:hAnsi="黑体" w:eastAsia="黑体"/>
              <w:highlight w:val="none"/>
            </w:rPr>
            <w:t>国有资本经营预算支出决算情况说明</w:t>
          </w:r>
          <w:r>
            <w:tab/>
          </w:r>
          <w:r>
            <w:fldChar w:fldCharType="begin"/>
          </w:r>
          <w:r>
            <w:instrText xml:space="preserve"> PAGEREF _Toc32541 \h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_Toc1010 </w:instrText>
          </w:r>
          <w:r>
            <w:fldChar w:fldCharType="separate"/>
          </w:r>
          <w:r>
            <w:rPr>
              <w:rFonts w:hint="eastAsia" w:ascii="黑体" w:hAnsi="黑体" w:eastAsia="黑体"/>
            </w:rPr>
            <w:t>十、</w:t>
          </w:r>
          <w:r>
            <w:rPr>
              <w:rFonts w:hint="eastAsia" w:ascii="黑体" w:hAnsi="黑体" w:eastAsia="黑体"/>
              <w:highlight w:val="none"/>
            </w:rPr>
            <w:t>其他重要事项的情况说明</w:t>
          </w:r>
          <w:r>
            <w:tab/>
          </w:r>
          <w:r>
            <w:fldChar w:fldCharType="begin"/>
          </w:r>
          <w:r>
            <w:instrText xml:space="preserve"> PAGEREF _Toc1010 \h </w:instrText>
          </w:r>
          <w:r>
            <w:fldChar w:fldCharType="separate"/>
          </w:r>
          <w:r>
            <w:t>8</w:t>
          </w:r>
          <w:r>
            <w:fldChar w:fldCharType="end"/>
          </w:r>
          <w:r>
            <w:fldChar w:fldCharType="end"/>
          </w:r>
        </w:p>
        <w:p>
          <w:pPr>
            <w:pStyle w:val="10"/>
            <w:tabs>
              <w:tab w:val="right" w:leader="dot" w:pos="8306"/>
              <w:tab w:val="clear" w:pos="8296"/>
            </w:tabs>
          </w:pPr>
          <w:r>
            <w:fldChar w:fldCharType="begin"/>
          </w:r>
          <w:r>
            <w:instrText xml:space="preserve"> HYPERLINK \l _Toc17609 </w:instrText>
          </w:r>
          <w:r>
            <w:fldChar w:fldCharType="separate"/>
          </w:r>
          <w:r>
            <w:rPr>
              <w:rFonts w:hint="eastAsia" w:ascii="黑体" w:hAnsi="黑体" w:eastAsia="黑体" w:cs="黑体"/>
              <w:szCs w:val="44"/>
            </w:rPr>
            <w:t>第三部分</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_Toc17609 \h </w:instrText>
          </w:r>
          <w:r>
            <w:fldChar w:fldCharType="separate"/>
          </w:r>
          <w:r>
            <w:t>11</w:t>
          </w:r>
          <w:r>
            <w:fldChar w:fldCharType="end"/>
          </w:r>
          <w:r>
            <w:fldChar w:fldCharType="end"/>
          </w:r>
        </w:p>
        <w:p>
          <w:pPr>
            <w:pStyle w:val="10"/>
            <w:tabs>
              <w:tab w:val="right" w:leader="dot" w:pos="8306"/>
              <w:tab w:val="clear" w:pos="8296"/>
            </w:tabs>
          </w:pPr>
          <w:r>
            <w:fldChar w:fldCharType="begin"/>
          </w:r>
          <w:r>
            <w:instrText xml:space="preserve"> HYPERLINK \l _Toc20681 </w:instrText>
          </w:r>
          <w:r>
            <w:fldChar w:fldCharType="separate"/>
          </w:r>
          <w:r>
            <w:rPr>
              <w:rFonts w:hint="eastAsia" w:ascii="黑体" w:hAnsi="黑体" w:eastAsia="黑体" w:cs="黑体"/>
              <w:szCs w:val="44"/>
            </w:rPr>
            <w:t>第四部分</w:t>
          </w:r>
          <w:r>
            <w:rPr>
              <w:rFonts w:hint="eastAsia" w:ascii="黑体" w:hAnsi="黑体" w:eastAsia="黑体"/>
            </w:rPr>
            <w:t>附件</w:t>
          </w:r>
          <w:r>
            <w:tab/>
          </w:r>
          <w:r>
            <w:fldChar w:fldCharType="begin"/>
          </w:r>
          <w:r>
            <w:instrText xml:space="preserve"> PAGEREF _Toc20681 \h </w:instrText>
          </w:r>
          <w:r>
            <w:fldChar w:fldCharType="separate"/>
          </w:r>
          <w:r>
            <w:t>13</w:t>
          </w:r>
          <w:r>
            <w:fldChar w:fldCharType="end"/>
          </w:r>
          <w:r>
            <w:fldChar w:fldCharType="end"/>
          </w:r>
        </w:p>
        <w:p>
          <w:pPr>
            <w:pStyle w:val="10"/>
            <w:tabs>
              <w:tab w:val="right" w:leader="dot" w:pos="8306"/>
              <w:tab w:val="clear" w:pos="8296"/>
            </w:tabs>
          </w:pPr>
          <w:r>
            <w:fldChar w:fldCharType="begin"/>
          </w:r>
          <w:r>
            <w:instrText xml:space="preserve"> HYPERLINK \l _Toc223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五部分附表</w:t>
          </w:r>
          <w:r>
            <w:tab/>
          </w:r>
          <w:r>
            <w:fldChar w:fldCharType="begin"/>
          </w:r>
          <w:r>
            <w:instrText xml:space="preserve"> PAGEREF _Toc223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_Toc6158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_Toc6158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_Toc12575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_Toc12575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_Toc2880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_Toc2880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_Toc2384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_Toc2384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_Toc13430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_Toc13430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_Toc8944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_Toc8944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_Toc10227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_Toc10227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_Toc1797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_Toc1797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_Toc16682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_Toc16682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_Toc26525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_Toc26525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_Toc9421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_Toc9421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_Toc3601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_Toc3601 \h </w:instrText>
          </w:r>
          <w:r>
            <w:fldChar w:fldCharType="separate"/>
          </w:r>
          <w:r>
            <w:t>29</w:t>
          </w:r>
          <w:r>
            <w:fldChar w:fldCharType="end"/>
          </w:r>
          <w:r>
            <w:fldChar w:fldCharType="end"/>
          </w:r>
        </w:p>
        <w:p>
          <w:pPr>
            <w:pStyle w:val="11"/>
            <w:tabs>
              <w:tab w:val="right" w:leader="dot" w:pos="8306"/>
              <w:tab w:val="clear" w:pos="8296"/>
            </w:tabs>
          </w:pPr>
          <w:r>
            <w:fldChar w:fldCharType="begin"/>
          </w:r>
          <w:r>
            <w:instrText xml:space="preserve"> HYPERLINK \l _Toc6269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_Toc6269 \h </w:instrText>
          </w:r>
          <w:r>
            <w:fldChar w:fldCharType="separate"/>
          </w:r>
          <w:r>
            <w:t>29</w:t>
          </w:r>
          <w:r>
            <w:fldChar w:fldCharType="end"/>
          </w:r>
          <w:r>
            <w:fldChar w:fldCharType="end"/>
          </w:r>
        </w:p>
        <w:p>
          <w:r>
            <w:fldChar w:fldCharType="end"/>
          </w:r>
          <w:bookmarkStart w:id="15" w:name="_Toc12881"/>
          <w:bookmarkStart w:id="16" w:name="_Toc15377197"/>
          <w:bookmarkStart w:id="17" w:name="_Toc15396600"/>
        </w:p>
      </w:sdtContent>
    </w:sdt>
    <w:p>
      <w:pPr>
        <w:jc w:val="center"/>
        <w:rPr>
          <w:rStyle w:val="16"/>
          <w:rFonts w:hint="eastAsia" w:ascii="黑体" w:hAnsi="黑体" w:eastAsia="黑体"/>
          <w:b w:val="0"/>
          <w:bCs w:val="0"/>
          <w:color w:val="auto"/>
          <w:highlight w:val="none"/>
        </w:rPr>
        <w:sectPr>
          <w:headerReference r:id="rId3" w:type="default"/>
          <w:pgSz w:w="11906" w:h="16838"/>
          <w:pgMar w:top="1440" w:right="1800" w:bottom="1440" w:left="1800" w:header="851" w:footer="992" w:gutter="0"/>
          <w:pgNumType w:start="1"/>
          <w:cols w:space="425" w:num="1"/>
          <w:titlePg/>
          <w:docGrid w:type="lines" w:linePitch="312" w:charSpace="0"/>
        </w:sectPr>
      </w:pPr>
    </w:p>
    <w:p>
      <w:pPr>
        <w:jc w:val="center"/>
        <w:rPr>
          <w:rStyle w:val="16"/>
          <w:rFonts w:ascii="黑体" w:hAnsi="黑体" w:eastAsia="黑体"/>
          <w:b/>
          <w:bCs w:val="0"/>
          <w:color w:val="auto"/>
          <w:highlight w:val="none"/>
        </w:rPr>
      </w:pPr>
      <w:r>
        <w:rPr>
          <w:rStyle w:val="16"/>
          <w:rFonts w:hint="eastAsia" w:ascii="黑体" w:hAnsi="黑体" w:eastAsia="黑体"/>
          <w:b w:val="0"/>
          <w:bCs w:val="0"/>
          <w:color w:val="auto"/>
          <w:highlight w:val="none"/>
        </w:rPr>
        <w:t>第一部分</w:t>
      </w:r>
      <w:r>
        <w:rPr>
          <w:rStyle w:val="16"/>
          <w:rFonts w:hint="eastAsia" w:ascii="黑体" w:hAnsi="黑体" w:eastAsia="黑体"/>
          <w:b w:val="0"/>
          <w:bCs w:val="0"/>
          <w:color w:val="auto"/>
          <w:highlight w:val="none"/>
          <w:lang w:eastAsia="zh-CN"/>
        </w:rPr>
        <w:t>单位</w:t>
      </w:r>
      <w:r>
        <w:rPr>
          <w:rStyle w:val="16"/>
          <w:rFonts w:hint="eastAsia" w:ascii="黑体" w:hAnsi="黑体" w:eastAsia="黑体"/>
          <w:b w:val="0"/>
          <w:bCs w:val="0"/>
          <w:color w:val="auto"/>
          <w:highlight w:val="none"/>
        </w:rPr>
        <w:t>概况</w:t>
      </w:r>
      <w:bookmarkEnd w:id="15"/>
    </w:p>
    <w:p>
      <w:pPr>
        <w:pStyle w:val="4"/>
        <w:keepNext/>
        <w:keepLines/>
        <w:widowControl w:val="0"/>
        <w:numPr>
          <w:ilvl w:val="0"/>
          <w:numId w:val="0"/>
        </w:numPr>
        <w:spacing w:before="260" w:after="260" w:line="416" w:lineRule="auto"/>
        <w:jc w:val="both"/>
        <w:outlineLvl w:val="1"/>
        <w:rPr>
          <w:rStyle w:val="17"/>
          <w:rFonts w:hint="eastAsia" w:ascii="黑体" w:hAnsi="黑体" w:eastAsia="黑体"/>
          <w:b w:val="0"/>
          <w:bCs w:val="0"/>
          <w:color w:val="auto"/>
          <w:highlight w:val="none"/>
          <w:lang w:eastAsia="zh-CN"/>
        </w:rPr>
      </w:pPr>
    </w:p>
    <w:p>
      <w:pPr>
        <w:pStyle w:val="4"/>
        <w:numPr>
          <w:ilvl w:val="0"/>
          <w:numId w:val="1"/>
        </w:numPr>
        <w:rPr>
          <w:rStyle w:val="17"/>
          <w:rFonts w:hint="eastAsia" w:ascii="黑体" w:hAnsi="黑体" w:eastAsia="黑体"/>
          <w:b w:val="0"/>
          <w:bCs w:val="0"/>
          <w:color w:val="auto"/>
          <w:highlight w:val="none"/>
          <w:lang w:eastAsia="zh-CN"/>
        </w:rPr>
      </w:pPr>
      <w:bookmarkStart w:id="18" w:name="_Toc12440"/>
      <w:r>
        <w:rPr>
          <w:rStyle w:val="17"/>
          <w:rFonts w:hint="eastAsia" w:ascii="黑体" w:hAnsi="黑体" w:eastAsia="黑体"/>
          <w:b w:val="0"/>
          <w:bCs w:val="0"/>
          <w:color w:val="auto"/>
          <w:highlight w:val="none"/>
          <w:lang w:eastAsia="zh-CN"/>
        </w:rPr>
        <w:t>主要职责</w:t>
      </w:r>
      <w:bookmarkEnd w:id="18"/>
    </w:p>
    <w:p>
      <w:pPr>
        <w:pStyle w:val="4"/>
        <w:spacing w:before="0" w:after="0" w:line="240" w:lineRule="auto"/>
        <w:ind w:firstLine="640" w:firstLineChars="200"/>
        <w:rPr>
          <w:rFonts w:hint="eastAsia"/>
          <w:lang w:eastAsia="zh-CN"/>
        </w:rPr>
      </w:pPr>
      <w:bookmarkStart w:id="19" w:name="_Toc14111"/>
      <w:r>
        <w:rPr>
          <w:rFonts w:hint="eastAsia" w:ascii="仿宋" w:hAnsi="仿宋" w:eastAsia="仿宋" w:cs="仿宋"/>
          <w:b w:val="0"/>
          <w:bCs w:val="0"/>
        </w:rPr>
        <w:t>皇泽寺博物馆是根据广编发</w:t>
      </w:r>
      <w:r>
        <w:rPr>
          <w:rFonts w:hint="eastAsia" w:ascii="仿宋" w:hAnsi="仿宋" w:eastAsia="仿宋" w:cs="仿宋"/>
          <w:color w:val="000000"/>
        </w:rPr>
        <w:t>〔</w:t>
      </w:r>
      <w:r>
        <w:rPr>
          <w:rFonts w:hint="eastAsia" w:ascii="仿宋" w:hAnsi="仿宋" w:eastAsia="仿宋" w:cs="仿宋"/>
          <w:b w:val="0"/>
          <w:bCs w:val="0"/>
          <w:color w:val="000000"/>
        </w:rPr>
        <w:t>2012〕50号于2012年成立的直属于广元市文化广播电视和旅游</w:t>
      </w:r>
      <w:r>
        <w:rPr>
          <w:rFonts w:hint="eastAsia" w:ascii="仿宋" w:hAnsi="仿宋" w:eastAsia="仿宋" w:cs="仿宋"/>
          <w:b w:val="0"/>
          <w:bCs w:val="0"/>
        </w:rPr>
        <w:t>局全额拨款的事业单位，执行政府会计制度。其主要职能是承担文物藏品安全、管理和利用工作</w:t>
      </w:r>
      <w:r>
        <w:rPr>
          <w:rFonts w:hint="eastAsia" w:ascii="仿宋" w:hAnsi="仿宋" w:eastAsia="仿宋" w:cs="仿宋"/>
          <w:b w:val="0"/>
          <w:bCs w:val="0"/>
          <w:lang w:eastAsia="zh-CN"/>
        </w:rPr>
        <w:t>；</w:t>
      </w:r>
      <w:r>
        <w:rPr>
          <w:rFonts w:hint="eastAsia" w:ascii="仿宋" w:hAnsi="仿宋" w:eastAsia="仿宋" w:cs="仿宋"/>
          <w:b w:val="0"/>
          <w:bCs w:val="0"/>
        </w:rPr>
        <w:t>承担武则天文化研究和传承创新工作；承担皇泽寺A级景区的管理和运营工作；负责广元市红军文化博物馆的保护、研究、管理和宣传工作</w:t>
      </w:r>
      <w:r>
        <w:rPr>
          <w:rFonts w:hint="eastAsia" w:ascii="仿宋" w:hAnsi="仿宋" w:eastAsia="仿宋" w:cs="仿宋"/>
        </w:rPr>
        <w:t>。</w:t>
      </w:r>
      <w:bookmarkEnd w:id="19"/>
    </w:p>
    <w:p>
      <w:pPr>
        <w:pStyle w:val="4"/>
        <w:numPr>
          <w:ilvl w:val="0"/>
          <w:numId w:val="1"/>
        </w:numPr>
        <w:ind w:left="0" w:leftChars="0" w:firstLine="0" w:firstLineChars="0"/>
        <w:rPr>
          <w:rFonts w:hint="eastAsia" w:ascii="黑体" w:hAnsi="黑体" w:eastAsia="黑体"/>
          <w:b w:val="0"/>
          <w:color w:val="auto"/>
          <w:highlight w:val="none"/>
          <w:lang w:val="en-US" w:eastAsia="zh-CN"/>
        </w:rPr>
      </w:pPr>
      <w:bookmarkStart w:id="20" w:name="_Toc1958"/>
      <w:r>
        <w:rPr>
          <w:rFonts w:hint="eastAsia" w:ascii="黑体" w:hAnsi="黑体" w:eastAsia="黑体"/>
          <w:b w:val="0"/>
          <w:color w:val="auto"/>
          <w:highlight w:val="none"/>
          <w:lang w:val="en-US" w:eastAsia="zh-CN"/>
        </w:rPr>
        <w:t>机构设置</w:t>
      </w:r>
      <w:bookmarkEnd w:id="20"/>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本单位为广元市文化广播电视和旅游局所属二级预算单位，单位性质为全额拨款公益一类正科级事业单位，决算编报类型为政府会计制度，按照政府会计制度填报决算数据。</w:t>
      </w:r>
    </w:p>
    <w:p>
      <w:pPr>
        <w:numPr>
          <w:ilvl w:val="0"/>
          <w:numId w:val="0"/>
        </w:numPr>
        <w:ind w:leftChars="0"/>
        <w:rPr>
          <w:rFonts w:hint="eastAsia"/>
          <w:lang w:val="en-US" w:eastAsia="zh-CN"/>
        </w:rPr>
      </w:pPr>
    </w:p>
    <w:bookmarkEnd w:id="16"/>
    <w:bookmarkEnd w:id="17"/>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16"/>
          <w:rFonts w:ascii="黑体" w:hAnsi="黑体" w:eastAsia="黑体"/>
          <w:b w:val="0"/>
          <w:bCs/>
          <w:color w:val="auto"/>
          <w:highlight w:val="none"/>
        </w:rPr>
      </w:pPr>
      <w:bookmarkStart w:id="21" w:name="_Toc15377204"/>
      <w:bookmarkStart w:id="22" w:name="_Toc28975"/>
      <w:bookmarkStart w:id="23" w:name="_Toc15396602"/>
      <w:r>
        <w:rPr>
          <w:rFonts w:hint="eastAsia" w:ascii="黑体" w:hAnsi="黑体" w:eastAsia="黑体"/>
          <w:b w:val="0"/>
          <w:bCs/>
          <w:color w:val="auto"/>
          <w:highlight w:val="none"/>
        </w:rPr>
        <w:t>第二部分</w:t>
      </w:r>
      <w:r>
        <w:rPr>
          <w:rFonts w:hint="eastAsia" w:ascii="黑体" w:hAnsi="黑体" w:eastAsia="黑体"/>
          <w:b w:val="0"/>
          <w:bCs/>
          <w:color w:val="auto"/>
          <w:highlight w:val="none"/>
          <w:lang w:val="en-US" w:eastAsia="zh-CN"/>
        </w:rPr>
        <w:t>2022年度</w:t>
      </w:r>
      <w:r>
        <w:rPr>
          <w:rStyle w:val="16"/>
          <w:rFonts w:hint="eastAsia" w:ascii="黑体" w:hAnsi="黑体" w:eastAsia="黑体"/>
          <w:b w:val="0"/>
          <w:bCs/>
          <w:color w:val="auto"/>
          <w:highlight w:val="none"/>
          <w:lang w:eastAsia="zh-CN"/>
        </w:rPr>
        <w:t>单位</w:t>
      </w:r>
      <w:r>
        <w:rPr>
          <w:rStyle w:val="16"/>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6"/>
        <w:numPr>
          <w:ilvl w:val="0"/>
          <w:numId w:val="2"/>
        </w:numPr>
        <w:spacing w:line="600" w:lineRule="exact"/>
        <w:ind w:firstLineChars="0"/>
        <w:outlineLvl w:val="1"/>
        <w:rPr>
          <w:rStyle w:val="17"/>
          <w:rFonts w:ascii="黑体" w:hAnsi="黑体" w:eastAsia="黑体"/>
          <w:b w:val="0"/>
          <w:color w:val="auto"/>
          <w:highlight w:val="none"/>
        </w:rPr>
      </w:pPr>
      <w:bookmarkStart w:id="24" w:name="_Toc15377205"/>
      <w:bookmarkStart w:id="25" w:name="_Toc19686"/>
      <w:bookmarkStart w:id="26" w:name="_Toc15396603"/>
      <w:r>
        <w:rPr>
          <w:rFonts w:hint="eastAsia" w:ascii="黑体" w:hAnsi="黑体" w:eastAsia="黑体"/>
          <w:color w:val="auto"/>
          <w:sz w:val="32"/>
          <w:szCs w:val="32"/>
          <w:highlight w:val="none"/>
        </w:rPr>
        <w:t>收</w:t>
      </w:r>
      <w:r>
        <w:rPr>
          <w:rStyle w:val="17"/>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903.84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1311.85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59.21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基建项目收支减少。</w:t>
      </w:r>
    </w:p>
    <w:p>
      <w:pPr>
        <w:spacing w:line="600" w:lineRule="exact"/>
        <w:rPr>
          <w:rFonts w:hint="eastAsia" w:ascii="仿宋" w:hAnsi="仿宋" w:eastAsia="仿宋"/>
          <w:color w:val="auto"/>
          <w:sz w:val="32"/>
          <w:szCs w:val="32"/>
          <w:highlight w:val="none"/>
        </w:rPr>
      </w:pPr>
    </w:p>
    <w:p>
      <w:pPr>
        <w:pStyle w:val="2"/>
        <w:jc w:val="center"/>
        <w:rPr>
          <w:rFonts w:hint="eastAsia" w:ascii="仿宋" w:hAnsi="仿宋" w:eastAsia="仿宋"/>
          <w:color w:val="auto"/>
          <w:sz w:val="32"/>
          <w:szCs w:val="32"/>
          <w:highlight w:val="none"/>
        </w:rPr>
      </w:pPr>
      <w:r>
        <w:drawing>
          <wp:inline distT="0" distB="0" distL="114300" distR="114300">
            <wp:extent cx="4826000" cy="2743200"/>
            <wp:effectExtent l="4445" t="4445" r="825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color w:val="FF0000"/>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17"/>
          <w:rFonts w:ascii="黑体" w:hAnsi="黑体" w:eastAsia="黑体"/>
          <w:b w:val="0"/>
          <w:color w:val="auto"/>
          <w:highlight w:val="none"/>
        </w:rPr>
      </w:pPr>
      <w:bookmarkStart w:id="27" w:name="_Toc15396604"/>
      <w:bookmarkStart w:id="28" w:name="_Toc13238"/>
      <w:bookmarkStart w:id="29" w:name="_Toc15377206"/>
      <w:r>
        <w:rPr>
          <w:rFonts w:hint="eastAsia" w:ascii="黑体" w:hAnsi="黑体" w:eastAsia="黑体"/>
          <w:color w:val="auto"/>
          <w:sz w:val="32"/>
          <w:szCs w:val="32"/>
          <w:highlight w:val="none"/>
        </w:rPr>
        <w:t>收</w:t>
      </w:r>
      <w:r>
        <w:rPr>
          <w:rStyle w:val="17"/>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ascii="仿宋" w:hAnsi="仿宋" w:eastAsia="仿宋"/>
          <w:color w:val="000000"/>
          <w:sz w:val="32"/>
          <w:szCs w:val="32"/>
        </w:rPr>
      </w:pPr>
      <w:bookmarkStart w:id="30" w:name="_Toc2204"/>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644.48</w:t>
      </w:r>
      <w:r>
        <w:rPr>
          <w:rFonts w:hint="eastAsia" w:ascii="仿宋" w:hAnsi="仿宋" w:eastAsia="仿宋"/>
          <w:sz w:val="32"/>
          <w:szCs w:val="32"/>
        </w:rPr>
        <w:t>万元，</w:t>
      </w:r>
      <w:r>
        <w:rPr>
          <w:rFonts w:hint="eastAsia" w:ascii="仿宋" w:hAnsi="仿宋" w:eastAsia="仿宋"/>
          <w:color w:val="000000"/>
          <w:sz w:val="32"/>
          <w:szCs w:val="32"/>
        </w:rPr>
        <w:t>其中：一般公共预算财政拨款收入</w:t>
      </w:r>
      <w:r>
        <w:rPr>
          <w:rFonts w:ascii="仿宋" w:hAnsi="仿宋" w:eastAsia="仿宋"/>
          <w:sz w:val="32"/>
          <w:szCs w:val="32"/>
        </w:rPr>
        <w:t>6</w:t>
      </w:r>
      <w:r>
        <w:rPr>
          <w:rFonts w:hint="eastAsia" w:ascii="仿宋" w:hAnsi="仿宋" w:eastAsia="仿宋"/>
          <w:sz w:val="32"/>
          <w:szCs w:val="32"/>
          <w:lang w:val="en-US" w:eastAsia="zh-CN"/>
        </w:rPr>
        <w:t>44.28</w:t>
      </w:r>
      <w:r>
        <w:rPr>
          <w:rFonts w:hint="eastAsia" w:ascii="仿宋" w:hAnsi="仿宋" w:eastAsia="仿宋"/>
          <w:color w:val="000000"/>
          <w:sz w:val="32"/>
          <w:szCs w:val="32"/>
        </w:rPr>
        <w:t>万元，占</w:t>
      </w:r>
      <w:r>
        <w:rPr>
          <w:rFonts w:ascii="仿宋" w:hAnsi="仿宋" w:eastAsia="仿宋"/>
          <w:color w:val="000000"/>
          <w:sz w:val="32"/>
          <w:szCs w:val="32"/>
        </w:rPr>
        <w:t>99.9</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0.2</w:t>
      </w:r>
      <w:r>
        <w:rPr>
          <w:rFonts w:hint="eastAsia" w:ascii="仿宋" w:hAnsi="仿宋" w:eastAsia="仿宋"/>
          <w:color w:val="000000"/>
          <w:sz w:val="32"/>
          <w:szCs w:val="32"/>
        </w:rPr>
        <w:t>万元，占</w:t>
      </w:r>
      <w:r>
        <w:rPr>
          <w:rFonts w:ascii="仿宋" w:hAnsi="仿宋" w:eastAsia="仿宋"/>
          <w:color w:val="000000"/>
          <w:sz w:val="32"/>
          <w:szCs w:val="32"/>
        </w:rPr>
        <w:t>0.0</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w:t>
      </w:r>
      <w:bookmarkEnd w:id="30"/>
    </w:p>
    <w:p>
      <w:pPr>
        <w:pStyle w:val="2"/>
        <w:rPr>
          <w:rFonts w:ascii="仿宋" w:hAnsi="仿宋" w:eastAsia="仿宋"/>
          <w:color w:val="auto"/>
          <w:sz w:val="32"/>
          <w:szCs w:val="32"/>
          <w:highlight w:val="none"/>
        </w:rPr>
      </w:pPr>
    </w:p>
    <w:p>
      <w:pPr>
        <w:pStyle w:val="2"/>
        <w:jc w:val="center"/>
        <w:rPr>
          <w:rFonts w:ascii="仿宋" w:hAnsi="仿宋" w:eastAsia="仿宋"/>
          <w:color w:val="auto"/>
          <w:sz w:val="32"/>
          <w:szCs w:val="32"/>
          <w:highlight w:val="none"/>
        </w:rPr>
      </w:pPr>
      <w:r>
        <w:drawing>
          <wp:inline distT="0" distB="0" distL="114300" distR="114300">
            <wp:extent cx="4826000" cy="2743200"/>
            <wp:effectExtent l="4445" t="4445" r="825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6"/>
        <w:numPr>
          <w:ilvl w:val="0"/>
          <w:numId w:val="2"/>
        </w:numPr>
        <w:spacing w:line="600" w:lineRule="exact"/>
        <w:ind w:firstLineChars="0"/>
        <w:outlineLvl w:val="1"/>
        <w:rPr>
          <w:rStyle w:val="17"/>
          <w:rFonts w:ascii="黑体" w:hAnsi="黑体" w:eastAsia="黑体"/>
          <w:b w:val="0"/>
          <w:color w:val="auto"/>
          <w:highlight w:val="none"/>
        </w:rPr>
      </w:pPr>
      <w:bookmarkStart w:id="31" w:name="_Toc15396605"/>
      <w:bookmarkStart w:id="32" w:name="_Toc15377207"/>
      <w:bookmarkStart w:id="33" w:name="_Toc18525"/>
      <w:r>
        <w:rPr>
          <w:rFonts w:hint="eastAsia" w:ascii="黑体" w:hAnsi="黑体" w:eastAsia="黑体"/>
          <w:color w:val="auto"/>
          <w:sz w:val="32"/>
          <w:szCs w:val="32"/>
          <w:highlight w:val="none"/>
        </w:rPr>
        <w:t>支</w:t>
      </w:r>
      <w:r>
        <w:rPr>
          <w:rStyle w:val="17"/>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ascii="仿宋" w:hAnsi="仿宋" w:eastAsia="仿宋"/>
          <w:color w:val="000000"/>
          <w:sz w:val="32"/>
          <w:szCs w:val="32"/>
        </w:rPr>
      </w:pPr>
      <w:bookmarkStart w:id="34" w:name="_Toc32364"/>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742.85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372.83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50.19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370.02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49.81</w:t>
      </w:r>
      <w:r>
        <w:rPr>
          <w:rFonts w:ascii="仿宋" w:hAnsi="仿宋" w:eastAsia="仿宋"/>
          <w:color w:val="000000"/>
          <w:sz w:val="32"/>
          <w:szCs w:val="32"/>
        </w:rPr>
        <w:t>%</w:t>
      </w:r>
      <w:r>
        <w:rPr>
          <w:rFonts w:hint="eastAsia" w:ascii="仿宋" w:hAnsi="仿宋" w:eastAsia="仿宋"/>
          <w:color w:val="000000"/>
          <w:sz w:val="32"/>
          <w:szCs w:val="32"/>
        </w:rPr>
        <w:t>。</w:t>
      </w:r>
      <w:bookmarkEnd w:id="34"/>
    </w:p>
    <w:p>
      <w:pPr>
        <w:pStyle w:val="2"/>
        <w:jc w:val="center"/>
        <w:rPr>
          <w:rFonts w:ascii="仿宋" w:hAnsi="仿宋" w:eastAsia="仿宋"/>
          <w:color w:val="auto"/>
          <w:sz w:val="32"/>
          <w:szCs w:val="32"/>
          <w:highlight w:val="none"/>
          <w:shd w:val="pct10" w:color="auto" w:fill="FFFFFF"/>
        </w:rPr>
      </w:pPr>
      <w:r>
        <w:drawing>
          <wp:inline distT="0" distB="0" distL="114300" distR="114300">
            <wp:extent cx="4826000" cy="2743200"/>
            <wp:effectExtent l="4445" t="4445" r="825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outlineLvl w:val="1"/>
        <w:rPr>
          <w:rFonts w:hint="eastAsia" w:ascii="仿宋" w:hAnsi="仿宋" w:eastAsia="仿宋"/>
          <w:color w:val="auto"/>
          <w:sz w:val="32"/>
          <w:szCs w:val="32"/>
          <w:highlight w:val="none"/>
        </w:rPr>
      </w:pPr>
      <w:bookmarkStart w:id="35" w:name="_Toc10808"/>
      <w:r>
        <w:rPr>
          <w:rFonts w:hint="eastAsia" w:ascii="仿宋" w:hAnsi="仿宋" w:eastAsia="仿宋"/>
          <w:color w:val="auto"/>
          <w:sz w:val="32"/>
          <w:szCs w:val="32"/>
          <w:highlight w:val="none"/>
        </w:rPr>
        <w:t>（图3：支出决算结构图）</w:t>
      </w:r>
      <w:bookmarkEnd w:id="35"/>
      <w:bookmarkStart w:id="36" w:name="_Toc15377208"/>
      <w:bookmarkStart w:id="37" w:name="_Toc15396606"/>
    </w:p>
    <w:p>
      <w:pPr>
        <w:spacing w:line="600" w:lineRule="exact"/>
        <w:ind w:firstLine="640" w:firstLineChars="200"/>
        <w:outlineLvl w:val="1"/>
        <w:rPr>
          <w:rStyle w:val="17"/>
          <w:rFonts w:ascii="黑体" w:hAnsi="黑体" w:eastAsia="黑体"/>
          <w:b w:val="0"/>
          <w:color w:val="auto"/>
          <w:highlight w:val="none"/>
        </w:rPr>
      </w:pPr>
      <w:bookmarkStart w:id="38" w:name="_Toc29469"/>
      <w:r>
        <w:rPr>
          <w:rFonts w:hint="eastAsia" w:ascii="黑体" w:hAnsi="黑体" w:eastAsia="黑体"/>
          <w:color w:val="auto"/>
          <w:sz w:val="32"/>
          <w:szCs w:val="32"/>
          <w:highlight w:val="none"/>
        </w:rPr>
        <w:t>四、财</w:t>
      </w:r>
      <w:r>
        <w:rPr>
          <w:rStyle w:val="17"/>
          <w:rFonts w:hint="eastAsia" w:ascii="黑体" w:hAnsi="黑体" w:eastAsia="黑体"/>
          <w:b w:val="0"/>
          <w:color w:val="auto"/>
          <w:highlight w:val="none"/>
        </w:rPr>
        <w:t>政拨款收入支出决算总体情况说明</w:t>
      </w:r>
      <w:bookmarkEnd w:id="36"/>
      <w:bookmarkEnd w:id="37"/>
      <w:bookmarkEnd w:id="38"/>
    </w:p>
    <w:p>
      <w:pPr>
        <w:spacing w:line="600" w:lineRule="exact"/>
        <w:ind w:firstLine="640"/>
        <w:rPr>
          <w:rFonts w:ascii="仿宋" w:hAnsi="仿宋" w:eastAsia="仿宋"/>
          <w:b/>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852.9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1312.04</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60.6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基建项目收支减少。</w:t>
      </w:r>
    </w:p>
    <w:p>
      <w:pPr>
        <w:spacing w:line="600" w:lineRule="exact"/>
        <w:rPr>
          <w:rFonts w:ascii="仿宋" w:hAnsi="仿宋" w:eastAsia="仿宋"/>
          <w:color w:val="auto"/>
          <w:sz w:val="32"/>
          <w:szCs w:val="32"/>
          <w:highlight w:val="none"/>
        </w:rPr>
      </w:pPr>
    </w:p>
    <w:p>
      <w:pPr>
        <w:pStyle w:val="2"/>
        <w:jc w:val="center"/>
        <w:rPr>
          <w:rFonts w:ascii="仿宋" w:hAnsi="仿宋" w:eastAsia="仿宋"/>
          <w:color w:val="auto"/>
          <w:sz w:val="32"/>
          <w:szCs w:val="32"/>
          <w:highlight w:val="none"/>
        </w:rPr>
      </w:pPr>
      <w:r>
        <w:drawing>
          <wp:inline distT="0" distB="0" distL="114300" distR="114300">
            <wp:extent cx="4826000" cy="2743200"/>
            <wp:effectExtent l="4445" t="4445" r="825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17"/>
          <w:rFonts w:ascii="黑体" w:hAnsi="黑体" w:eastAsia="黑体"/>
          <w:b w:val="0"/>
          <w:color w:val="auto"/>
          <w:highlight w:val="none"/>
        </w:rPr>
      </w:pPr>
      <w:bookmarkStart w:id="39" w:name="_Toc15396607"/>
      <w:bookmarkStart w:id="40" w:name="_Toc20740"/>
      <w:bookmarkStart w:id="4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17"/>
          <w:rFonts w:hint="eastAsia" w:ascii="黑体" w:hAns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color w:val="auto"/>
          <w:sz w:val="32"/>
          <w:szCs w:val="32"/>
          <w:highlight w:val="none"/>
        </w:rPr>
      </w:pPr>
      <w:bookmarkStart w:id="42" w:name="_Toc15377210"/>
      <w:bookmarkStart w:id="43" w:name="_Toc30012"/>
      <w:r>
        <w:rPr>
          <w:rFonts w:hint="eastAsia" w:ascii="仿宋" w:hAnsi="仿宋" w:eastAsia="仿宋"/>
          <w:b/>
          <w:color w:val="auto"/>
          <w:sz w:val="32"/>
          <w:szCs w:val="32"/>
          <w:highlight w:val="none"/>
        </w:rPr>
        <w:t>（一）一般公共预算财政拨款支出决算总体情况</w:t>
      </w:r>
      <w:bookmarkEnd w:id="42"/>
      <w:bookmarkEnd w:id="43"/>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742.64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885.19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54.39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基建项目支出减少。</w:t>
      </w:r>
    </w:p>
    <w:p>
      <w:pPr>
        <w:pStyle w:val="2"/>
        <w:jc w:val="center"/>
        <w:rPr>
          <w:rFonts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365760</wp:posOffset>
            </wp:positionH>
            <wp:positionV relativeFrom="paragraph">
              <wp:posOffset>86360</wp:posOffset>
            </wp:positionV>
            <wp:extent cx="4826000" cy="2093595"/>
            <wp:effectExtent l="4445" t="4445" r="8255" b="698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44" w:name="_Toc15377211"/>
      <w:bookmarkStart w:id="45" w:name="_Toc22460"/>
      <w:r>
        <w:rPr>
          <w:rFonts w:hint="eastAsia" w:ascii="仿宋" w:hAnsi="仿宋" w:eastAsia="仿宋"/>
          <w:b/>
          <w:color w:val="auto"/>
          <w:sz w:val="32"/>
          <w:szCs w:val="32"/>
          <w:highlight w:val="none"/>
        </w:rPr>
        <w:t>（二）一般公共预算财政拨款支出决算结构情况</w:t>
      </w:r>
      <w:bookmarkEnd w:id="44"/>
      <w:bookmarkEnd w:id="45"/>
    </w:p>
    <w:p>
      <w:pPr>
        <w:spacing w:line="600" w:lineRule="exact"/>
        <w:ind w:firstLine="640"/>
        <w:rPr>
          <w:rFonts w:hint="eastAsia" w:ascii="仿宋" w:hAnsi="仿宋" w:eastAsia="仿宋"/>
          <w:color w:val="auto"/>
          <w:sz w:val="32"/>
          <w:szCs w:val="32"/>
          <w:highlight w:val="none"/>
        </w:rPr>
      </w:pPr>
      <w:r>
        <w:rPr>
          <w:rFonts w:ascii="仿宋" w:hAnsi="仿宋" w:eastAsia="仿宋"/>
          <w:bCs/>
          <w:color w:val="000000" w:themeColor="text1"/>
          <w:sz w:val="32"/>
          <w:szCs w:val="32"/>
          <w14:textFill>
            <w14:solidFill>
              <w14:schemeClr w14:val="tx1"/>
            </w14:solidFill>
          </w14:textFill>
        </w:rPr>
        <w:t>202</w:t>
      </w:r>
      <w:r>
        <w:rPr>
          <w:rFonts w:hint="eastAsia" w:ascii="仿宋" w:hAnsi="仿宋" w:eastAsia="仿宋"/>
          <w:bCs/>
          <w:color w:val="000000" w:themeColor="text1"/>
          <w:sz w:val="32"/>
          <w:szCs w:val="32"/>
          <w:lang w:val="en-US" w:eastAsia="zh-CN"/>
          <w14:textFill>
            <w14:solidFill>
              <w14:schemeClr w14:val="tx1"/>
            </w14:solidFill>
          </w14:textFill>
        </w:rPr>
        <w:t>2</w:t>
      </w:r>
      <w:r>
        <w:rPr>
          <w:rFonts w:hint="eastAsia" w:ascii="仿宋" w:hAnsi="仿宋" w:eastAsia="仿宋"/>
          <w:bCs/>
          <w:color w:val="000000" w:themeColor="text1"/>
          <w:sz w:val="32"/>
          <w:szCs w:val="32"/>
          <w14:textFill>
            <w14:solidFill>
              <w14:schemeClr w14:val="tx1"/>
            </w14:solidFill>
          </w14:textFill>
        </w:rPr>
        <w:t>年一般公共预算财政拨款支出</w:t>
      </w:r>
      <w:r>
        <w:rPr>
          <w:rFonts w:hint="eastAsia" w:ascii="仿宋" w:hAnsi="仿宋" w:eastAsia="仿宋"/>
          <w:bCs/>
          <w:color w:val="000000" w:themeColor="text1"/>
          <w:sz w:val="32"/>
          <w:szCs w:val="32"/>
          <w:highlight w:val="none"/>
          <w:lang w:val="en-US" w:eastAsia="zh-CN"/>
          <w14:textFill>
            <w14:solidFill>
              <w14:schemeClr w14:val="tx1"/>
            </w14:solidFill>
          </w14:textFill>
        </w:rPr>
        <w:t>742.64</w:t>
      </w:r>
      <w:r>
        <w:rPr>
          <w:rFonts w:hint="eastAsia" w:ascii="仿宋" w:hAnsi="仿宋" w:eastAsia="仿宋"/>
          <w:bCs/>
          <w:color w:val="000000" w:themeColor="text1"/>
          <w:sz w:val="32"/>
          <w:szCs w:val="32"/>
          <w:highlight w:val="none"/>
          <w14:textFill>
            <w14:solidFill>
              <w14:schemeClr w14:val="tx1"/>
            </w14:solidFill>
          </w14:textFill>
        </w:rPr>
        <w:t>万元，主要用于以下方面</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文化旅游体育与传媒（类）支出673.26万元，占</w:t>
      </w:r>
      <w:r>
        <w:rPr>
          <w:rFonts w:hint="eastAsia" w:ascii="仿宋" w:hAnsi="仿宋" w:eastAsia="仿宋"/>
          <w:bCs/>
          <w:color w:val="000000" w:themeColor="text1"/>
          <w:sz w:val="32"/>
          <w:szCs w:val="32"/>
          <w:highlight w:val="none"/>
          <w:lang w:val="en-US" w:eastAsia="zh-CN"/>
          <w14:textFill>
            <w14:solidFill>
              <w14:schemeClr w14:val="tx1"/>
            </w14:solidFill>
          </w14:textFill>
        </w:rPr>
        <w:t>90.66</w:t>
      </w:r>
      <w:r>
        <w:rPr>
          <w:rFonts w:ascii="仿宋" w:hAnsi="仿宋" w:eastAsia="仿宋"/>
          <w:bCs/>
          <w:color w:val="000000" w:themeColor="text1"/>
          <w:sz w:val="32"/>
          <w:szCs w:val="32"/>
          <w:highlight w:val="none"/>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；社会保障和就业（类）支出27</w:t>
      </w:r>
      <w:r>
        <w:rPr>
          <w:rFonts w:hint="eastAsia" w:ascii="仿宋" w:hAnsi="仿宋" w:eastAsia="仿宋"/>
          <w:bCs/>
          <w:color w:val="000000" w:themeColor="text1"/>
          <w:sz w:val="32"/>
          <w:szCs w:val="32"/>
          <w:highlight w:val="none"/>
          <w:lang w:val="en-US" w:eastAsia="zh-CN"/>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05万元，占</w:t>
      </w:r>
      <w:r>
        <w:rPr>
          <w:rFonts w:hint="eastAsia" w:ascii="仿宋" w:hAnsi="仿宋" w:eastAsia="仿宋"/>
          <w:bCs/>
          <w:color w:val="000000" w:themeColor="text1"/>
          <w:sz w:val="32"/>
          <w:szCs w:val="32"/>
          <w:highlight w:val="none"/>
          <w:lang w:val="en-US" w:eastAsia="zh-CN"/>
          <w14:textFill>
            <w14:solidFill>
              <w14:schemeClr w14:val="tx1"/>
            </w14:solidFill>
          </w14:textFill>
        </w:rPr>
        <w:t>3.64</w:t>
      </w:r>
      <w:r>
        <w:rPr>
          <w:rFonts w:ascii="仿宋" w:hAnsi="仿宋" w:eastAsia="仿宋"/>
          <w:bCs/>
          <w:color w:val="000000" w:themeColor="text1"/>
          <w:sz w:val="32"/>
          <w:szCs w:val="32"/>
          <w:highlight w:val="none"/>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；卫生健康支出10</w:t>
      </w:r>
      <w:r>
        <w:rPr>
          <w:rFonts w:hint="eastAsia" w:ascii="仿宋" w:hAnsi="仿宋" w:eastAsia="仿宋"/>
          <w:bCs/>
          <w:color w:val="000000" w:themeColor="text1"/>
          <w:sz w:val="32"/>
          <w:szCs w:val="32"/>
          <w:highlight w:val="none"/>
          <w:lang w:val="en-US" w:eastAsia="zh-CN"/>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82万元，占</w:t>
      </w:r>
      <w:r>
        <w:rPr>
          <w:rFonts w:hint="eastAsia" w:ascii="仿宋" w:hAnsi="仿宋" w:eastAsia="仿宋"/>
          <w:bCs/>
          <w:color w:val="000000" w:themeColor="text1"/>
          <w:sz w:val="32"/>
          <w:szCs w:val="32"/>
          <w:highlight w:val="none"/>
          <w:lang w:val="en-US" w:eastAsia="zh-CN"/>
          <w14:textFill>
            <w14:solidFill>
              <w14:schemeClr w14:val="tx1"/>
            </w14:solidFill>
          </w14:textFill>
        </w:rPr>
        <w:t>1.46</w:t>
      </w:r>
      <w:r>
        <w:rPr>
          <w:rFonts w:ascii="仿宋" w:hAnsi="仿宋" w:eastAsia="仿宋"/>
          <w:bCs/>
          <w:color w:val="000000" w:themeColor="text1"/>
          <w:sz w:val="32"/>
          <w:szCs w:val="32"/>
          <w:highlight w:val="none"/>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；住房保障支出31.5</w:t>
      </w:r>
      <w:r>
        <w:rPr>
          <w:rFonts w:hint="eastAsia" w:ascii="仿宋" w:hAnsi="仿宋" w:eastAsia="仿宋"/>
          <w:bCs/>
          <w:color w:val="000000" w:themeColor="text1"/>
          <w:sz w:val="32"/>
          <w:szCs w:val="32"/>
          <w:highlight w:val="none"/>
          <w:lang w:val="en-US" w:eastAsia="zh-CN"/>
          <w14:textFill>
            <w14:solidFill>
              <w14:schemeClr w14:val="tx1"/>
            </w14:solidFill>
          </w14:textFill>
        </w:rPr>
        <w:t>1</w:t>
      </w:r>
      <w:r>
        <w:rPr>
          <w:rFonts w:hint="eastAsia" w:ascii="仿宋" w:hAnsi="仿宋" w:eastAsia="仿宋"/>
          <w:bCs/>
          <w:color w:val="000000" w:themeColor="text1"/>
          <w:sz w:val="32"/>
          <w:szCs w:val="32"/>
          <w:highlight w:val="none"/>
          <w14:textFill>
            <w14:solidFill>
              <w14:schemeClr w14:val="tx1"/>
            </w14:solidFill>
          </w14:textFill>
        </w:rPr>
        <w:t>万元，占</w:t>
      </w:r>
      <w:r>
        <w:rPr>
          <w:rFonts w:hint="eastAsia" w:ascii="仿宋" w:hAnsi="仿宋" w:eastAsia="仿宋"/>
          <w:bCs/>
          <w:color w:val="000000" w:themeColor="text1"/>
          <w:sz w:val="32"/>
          <w:szCs w:val="32"/>
          <w:highlight w:val="none"/>
          <w:lang w:val="en-US" w:eastAsia="zh-CN"/>
          <w14:textFill>
            <w14:solidFill>
              <w14:schemeClr w14:val="tx1"/>
            </w14:solidFill>
          </w14:textFill>
        </w:rPr>
        <w:t>4.24</w:t>
      </w:r>
      <w:r>
        <w:rPr>
          <w:rFonts w:ascii="仿宋" w:hAnsi="仿宋" w:eastAsia="仿宋"/>
          <w:bCs/>
          <w:color w:val="000000" w:themeColor="text1"/>
          <w:sz w:val="32"/>
          <w:szCs w:val="32"/>
          <w:highlight w:val="none"/>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w:t>
      </w:r>
    </w:p>
    <w:p>
      <w:pPr>
        <w:pStyle w:val="2"/>
        <w:jc w:val="center"/>
        <w:rPr>
          <w:rFonts w:hint="eastAsia" w:ascii="仿宋" w:hAnsi="仿宋" w:eastAsia="仿宋"/>
          <w:color w:val="auto"/>
          <w:sz w:val="32"/>
          <w:szCs w:val="32"/>
          <w:highlight w:val="none"/>
        </w:rPr>
      </w:pPr>
      <w:r>
        <w:drawing>
          <wp:inline distT="0" distB="0" distL="114300" distR="114300">
            <wp:extent cx="4934585" cy="2770505"/>
            <wp:effectExtent l="4445" t="4445" r="13970" b="635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46" w:name="_Toc26612"/>
      <w:bookmarkStart w:id="47" w:name="_Toc15377212"/>
      <w:r>
        <w:rPr>
          <w:rFonts w:hint="eastAsia" w:ascii="仿宋" w:hAnsi="仿宋" w:eastAsia="仿宋"/>
          <w:b/>
          <w:color w:val="auto"/>
          <w:sz w:val="32"/>
          <w:szCs w:val="32"/>
          <w:highlight w:val="none"/>
        </w:rPr>
        <w:t>（三）一般公共预算财政拨款支出决算具体情况</w:t>
      </w:r>
      <w:bookmarkEnd w:id="46"/>
      <w:bookmarkEnd w:id="47"/>
    </w:p>
    <w:p>
      <w:pPr>
        <w:spacing w:line="600" w:lineRule="exact"/>
        <w:ind w:firstLine="640" w:firstLineChars="200"/>
        <w:outlineLvl w:val="2"/>
        <w:rPr>
          <w:rFonts w:ascii="仿宋" w:hAnsi="仿宋" w:eastAsia="仿宋"/>
          <w:bCs/>
          <w:color w:val="0D0D0D" w:themeColor="text1" w:themeTint="F2"/>
          <w:sz w:val="32"/>
          <w:szCs w:val="32"/>
          <w14:textFill>
            <w14:solidFill>
              <w14:schemeClr w14:val="tx1">
                <w14:lumMod w14:val="95000"/>
                <w14:lumOff w14:val="5000"/>
              </w14:schemeClr>
            </w14:solidFill>
          </w14:textFill>
        </w:rPr>
      </w:pPr>
      <w:bookmarkStart w:id="48" w:name="_Toc15377444"/>
      <w:bookmarkStart w:id="49" w:name="_Toc15377213"/>
      <w:bookmarkStart w:id="50" w:name="_Toc24721"/>
      <w:bookmarkStart w:id="51" w:name="_Toc15378460"/>
      <w:r>
        <w:rPr>
          <w:rFonts w:ascii="仿宋" w:hAnsi="仿宋" w:eastAsia="仿宋"/>
          <w:bCs/>
          <w:color w:val="0D0D0D" w:themeColor="text1" w:themeTint="F2"/>
          <w:sz w:val="32"/>
          <w:szCs w:val="32"/>
          <w14:textFill>
            <w14:solidFill>
              <w14:schemeClr w14:val="tx1">
                <w14:lumMod w14:val="95000"/>
                <w14:lumOff w14:val="5000"/>
              </w14:schemeClr>
            </w14:solidFill>
          </w14:textFill>
        </w:rPr>
        <w:t>202</w:t>
      </w:r>
      <w:r>
        <w:rPr>
          <w:rFonts w:hint="eastAsia" w:ascii="仿宋" w:hAnsi="仿宋" w:eastAsia="仿宋"/>
          <w:bCs/>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仿宋" w:hAnsi="仿宋" w:eastAsia="仿宋"/>
          <w:bCs/>
          <w:color w:val="0D0D0D" w:themeColor="text1" w:themeTint="F2"/>
          <w:sz w:val="32"/>
          <w:szCs w:val="32"/>
          <w14:textFill>
            <w14:solidFill>
              <w14:schemeClr w14:val="tx1">
                <w14:lumMod w14:val="95000"/>
                <w14:lumOff w14:val="5000"/>
              </w14:schemeClr>
            </w14:solidFill>
          </w14:textFill>
        </w:rPr>
        <w:t>年一般公共预</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算支出决算数为</w:t>
      </w:r>
      <w:r>
        <w:rPr>
          <w:rStyle w:val="14"/>
          <w:rFonts w:hint="eastAsia" w:ascii="仿宋" w:hAnsi="仿宋" w:eastAsia="仿宋"/>
          <w:b w:val="0"/>
          <w:bCs/>
          <w:color w:val="0D0D0D" w:themeColor="text1" w:themeTint="F2"/>
          <w:sz w:val="32"/>
          <w:szCs w:val="32"/>
          <w:lang w:val="en-US" w:eastAsia="zh-CN"/>
          <w14:textFill>
            <w14:solidFill>
              <w14:schemeClr w14:val="tx1">
                <w14:lumMod w14:val="95000"/>
                <w14:lumOff w14:val="5000"/>
              </w14:schemeClr>
            </w14:solidFill>
          </w14:textFill>
        </w:rPr>
        <w:t>742.64</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万元，完成预算</w:t>
      </w:r>
      <w:r>
        <w:rPr>
          <w:rStyle w:val="14"/>
          <w:rFonts w:hint="eastAsia" w:ascii="仿宋" w:hAnsi="仿宋" w:eastAsia="仿宋"/>
          <w:b w:val="0"/>
          <w:bCs/>
          <w:color w:val="0D0D0D" w:themeColor="text1" w:themeTint="F2"/>
          <w:sz w:val="32"/>
          <w:szCs w:val="32"/>
          <w:lang w:val="en-US" w:eastAsia="zh-CN"/>
          <w14:textFill>
            <w14:solidFill>
              <w14:schemeClr w14:val="tx1">
                <w14:lumMod w14:val="95000"/>
                <w14:lumOff w14:val="5000"/>
              </w14:schemeClr>
            </w14:solidFill>
          </w14:textFill>
        </w:rPr>
        <w:t>87.07</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%。其中：</w:t>
      </w:r>
      <w:bookmarkEnd w:id="48"/>
      <w:bookmarkEnd w:id="49"/>
      <w:bookmarkEnd w:id="50"/>
      <w:bookmarkEnd w:id="51"/>
    </w:p>
    <w:p>
      <w:pPr>
        <w:numPr>
          <w:ilvl w:val="0"/>
          <w:numId w:val="0"/>
        </w:numPr>
        <w:spacing w:line="600" w:lineRule="exact"/>
        <w:ind w:firstLine="640" w:firstLineChars="200"/>
        <w:rPr>
          <w:rFonts w:ascii="仿宋" w:hAnsi="仿宋" w:eastAsia="仿宋"/>
          <w:color w:val="FF0000"/>
          <w:sz w:val="32"/>
          <w:szCs w:val="32"/>
        </w:rPr>
      </w:pPr>
      <w:r>
        <w:rPr>
          <w:rStyle w:val="14"/>
          <w:rFonts w:hint="eastAsia" w:ascii="仿宋" w:hAnsi="仿宋" w:eastAsia="仿宋"/>
          <w:b w:val="0"/>
          <w:bCs/>
          <w:color w:val="0D0D0D" w:themeColor="text1" w:themeTint="F2"/>
          <w:sz w:val="32"/>
          <w:szCs w:val="32"/>
          <w:lang w:val="en-US" w:eastAsia="zh-CN"/>
          <w14:textFill>
            <w14:solidFill>
              <w14:schemeClr w14:val="tx1">
                <w14:lumMod w14:val="95000"/>
                <w14:lumOff w14:val="5000"/>
              </w14:schemeClr>
            </w14:solidFill>
          </w14:textFill>
        </w:rPr>
        <w:t>1.</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文化旅游体育与传媒（类）文物（款）博物馆（项）</w:t>
      </w:r>
      <w:r>
        <w:rPr>
          <w:rStyle w:val="14"/>
          <w:rFonts w:hint="eastAsia" w:ascii="仿宋" w:hAnsi="仿宋" w:eastAsia="仿宋"/>
          <w:b w:val="0"/>
          <w:bCs/>
          <w:color w:val="0D0D0D" w:themeColor="text1" w:themeTint="F2"/>
          <w:sz w:val="32"/>
          <w:szCs w:val="32"/>
          <w:lang w:eastAsia="zh-CN"/>
          <w14:textFill>
            <w14:solidFill>
              <w14:schemeClr w14:val="tx1">
                <w14:lumMod w14:val="95000"/>
                <w14:lumOff w14:val="5000"/>
              </w14:schemeClr>
            </w14:solidFill>
          </w14:textFill>
        </w:rPr>
        <w:t>：</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支出决算为</w:t>
      </w:r>
      <w:r>
        <w:rPr>
          <w:rFonts w:hint="eastAsia" w:ascii="仿宋" w:hAnsi="仿宋" w:eastAsia="仿宋"/>
          <w:bCs/>
          <w:color w:val="0D0D0D" w:themeColor="text1" w:themeTint="F2"/>
          <w:sz w:val="32"/>
          <w:szCs w:val="32"/>
          <w14:textFill>
            <w14:solidFill>
              <w14:schemeClr w14:val="tx1">
                <w14:lumMod w14:val="95000"/>
                <w14:lumOff w14:val="5000"/>
              </w14:schemeClr>
            </w14:solidFill>
          </w14:textFill>
        </w:rPr>
        <w:t>673</w:t>
      </w:r>
      <w:r>
        <w:rPr>
          <w:rFonts w:hint="eastAsia" w:ascii="仿宋" w:hAnsi="仿宋" w:eastAsia="仿宋"/>
          <w:bCs/>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仿宋" w:hAnsi="仿宋" w:eastAsia="仿宋"/>
          <w:bCs/>
          <w:color w:val="0D0D0D" w:themeColor="text1" w:themeTint="F2"/>
          <w:sz w:val="32"/>
          <w:szCs w:val="32"/>
          <w14:textFill>
            <w14:solidFill>
              <w14:schemeClr w14:val="tx1">
                <w14:lumMod w14:val="95000"/>
                <w14:lumOff w14:val="5000"/>
              </w14:schemeClr>
            </w14:solidFill>
          </w14:textFill>
        </w:rPr>
        <w:t>26</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万元，完成预算</w:t>
      </w:r>
      <w:r>
        <w:rPr>
          <w:rStyle w:val="14"/>
          <w:rFonts w:hint="eastAsia" w:ascii="仿宋" w:hAnsi="仿宋" w:eastAsia="仿宋"/>
          <w:b w:val="0"/>
          <w:bCs/>
          <w:color w:val="0D0D0D" w:themeColor="text1" w:themeTint="F2"/>
          <w:sz w:val="32"/>
          <w:szCs w:val="32"/>
          <w:lang w:val="en-US" w:eastAsia="zh-CN"/>
          <w14:textFill>
            <w14:solidFill>
              <w14:schemeClr w14:val="tx1">
                <w14:lumMod w14:val="95000"/>
                <w14:lumOff w14:val="5000"/>
              </w14:schemeClr>
            </w14:solidFill>
          </w14:textFill>
        </w:rPr>
        <w:t>85.93</w:t>
      </w:r>
      <w:r>
        <w:rPr>
          <w:rStyle w:val="14"/>
          <w:rFonts w:ascii="仿宋" w:hAnsi="仿宋" w:eastAsia="仿宋"/>
          <w:b w:val="0"/>
          <w:bCs/>
          <w:color w:val="0D0D0D" w:themeColor="text1" w:themeTint="F2"/>
          <w:sz w:val="32"/>
          <w:szCs w:val="32"/>
          <w14:textFill>
            <w14:solidFill>
              <w14:schemeClr w14:val="tx1">
                <w14:lumMod w14:val="95000"/>
                <w14:lumOff w14:val="5000"/>
              </w14:schemeClr>
            </w14:solidFill>
          </w14:textFill>
        </w:rPr>
        <w:t>%</w:t>
      </w:r>
      <w:r>
        <w:rPr>
          <w:rStyle w:val="14"/>
          <w:rFonts w:hint="eastAsia" w:ascii="仿宋" w:hAnsi="仿宋" w:eastAsia="仿宋"/>
          <w:b w:val="0"/>
          <w:bCs/>
          <w:color w:val="0D0D0D" w:themeColor="text1" w:themeTint="F2"/>
          <w:sz w:val="32"/>
          <w:szCs w:val="32"/>
          <w14:textFill>
            <w14:solidFill>
              <w14:schemeClr w14:val="tx1">
                <w14:lumMod w14:val="95000"/>
                <w14:lumOff w14:val="5000"/>
              </w14:schemeClr>
            </w14:solidFill>
          </w14:textFill>
        </w:rPr>
        <w:t>。决算数小于预算数的主要原因为：</w:t>
      </w:r>
      <w:r>
        <w:rPr>
          <w:rFonts w:hint="eastAsia" w:ascii="仿宋" w:hAnsi="仿宋" w:eastAsia="仿宋"/>
          <w:strike w:val="0"/>
          <w:dstrike w:val="0"/>
          <w:color w:val="000000" w:themeColor="text1"/>
          <w:sz w:val="32"/>
          <w:szCs w:val="32"/>
          <w14:textFill>
            <w14:solidFill>
              <w14:schemeClr w14:val="tx1"/>
            </w14:solidFill>
          </w14:textFill>
        </w:rPr>
        <w:t>上年结转基建项目经费，于</w:t>
      </w:r>
      <w:r>
        <w:rPr>
          <w:rFonts w:ascii="仿宋" w:hAnsi="仿宋" w:eastAsia="仿宋"/>
          <w:strike w:val="0"/>
          <w:dstrike w:val="0"/>
          <w:color w:val="000000" w:themeColor="text1"/>
          <w:sz w:val="32"/>
          <w:szCs w:val="32"/>
          <w14:textFill>
            <w14:solidFill>
              <w14:schemeClr w14:val="tx1"/>
            </w14:solidFill>
          </w14:textFill>
        </w:rPr>
        <w:t>202</w:t>
      </w:r>
      <w:r>
        <w:rPr>
          <w:rFonts w:hint="eastAsia" w:ascii="仿宋" w:hAnsi="仿宋" w:eastAsia="仿宋"/>
          <w:strike w:val="0"/>
          <w:dstrike w:val="0"/>
          <w:color w:val="000000" w:themeColor="text1"/>
          <w:sz w:val="32"/>
          <w:szCs w:val="32"/>
          <w:lang w:val="en-US" w:eastAsia="zh-CN"/>
          <w14:textFill>
            <w14:solidFill>
              <w14:schemeClr w14:val="tx1"/>
            </w14:solidFill>
          </w14:textFill>
        </w:rPr>
        <w:t>2</w:t>
      </w:r>
      <w:r>
        <w:rPr>
          <w:rFonts w:hint="eastAsia" w:ascii="仿宋" w:hAnsi="仿宋" w:eastAsia="仿宋"/>
          <w:strike w:val="0"/>
          <w:dstrike w:val="0"/>
          <w:color w:val="000000" w:themeColor="text1"/>
          <w:sz w:val="32"/>
          <w:szCs w:val="32"/>
          <w14:textFill>
            <w14:solidFill>
              <w14:schemeClr w14:val="tx1"/>
            </w14:solidFill>
          </w14:textFill>
        </w:rPr>
        <w:t>年支出，按施工进度使用，未使用完毕。</w:t>
      </w:r>
    </w:p>
    <w:p>
      <w:pPr>
        <w:spacing w:line="600" w:lineRule="exact"/>
        <w:ind w:firstLine="640" w:firstLineChars="200"/>
        <w:rPr>
          <w:rStyle w:val="14"/>
          <w:rFonts w:ascii="仿宋" w:hAnsi="仿宋" w:eastAsia="仿宋"/>
          <w:b w:val="0"/>
          <w:bCs/>
          <w:color w:val="FF0000"/>
          <w:sz w:val="32"/>
          <w:szCs w:val="32"/>
        </w:rPr>
      </w:pPr>
      <w:r>
        <w:rPr>
          <w:rStyle w:val="14"/>
          <w:rFonts w:ascii="仿宋" w:hAnsi="仿宋" w:eastAsia="仿宋"/>
          <w:b w:val="0"/>
          <w:bCs/>
          <w:color w:val="000000" w:themeColor="text1"/>
          <w:sz w:val="32"/>
          <w:szCs w:val="32"/>
          <w14:textFill>
            <w14:solidFill>
              <w14:schemeClr w14:val="tx1"/>
            </w14:solidFill>
          </w14:textFill>
        </w:rPr>
        <w:t>2.</w:t>
      </w:r>
      <w:r>
        <w:rPr>
          <w:rStyle w:val="14"/>
          <w:rFonts w:hint="eastAsia" w:ascii="仿宋" w:hAnsi="仿宋" w:eastAsia="仿宋"/>
          <w:b w:val="0"/>
          <w:bCs/>
          <w:color w:val="000000" w:themeColor="text1"/>
          <w:sz w:val="32"/>
          <w:szCs w:val="32"/>
          <w14:textFill>
            <w14:solidFill>
              <w14:schemeClr w14:val="tx1"/>
            </w14:solidFill>
          </w14:textFill>
        </w:rPr>
        <w:t>社会保障和就业（类）行政事业养老保险支出（款）机关事业单位基本养老保险缴费支出（项）</w:t>
      </w:r>
      <w:r>
        <w:rPr>
          <w:rStyle w:val="14"/>
          <w:rFonts w:hint="eastAsia" w:ascii="仿宋" w:hAnsi="仿宋" w:eastAsia="仿宋"/>
          <w:b w:val="0"/>
          <w:bCs/>
          <w:color w:val="000000" w:themeColor="text1"/>
          <w:sz w:val="32"/>
          <w:szCs w:val="32"/>
          <w:lang w:eastAsia="zh-CN"/>
          <w14:textFill>
            <w14:solidFill>
              <w14:schemeClr w14:val="tx1"/>
            </w14:solidFill>
          </w14:textFill>
        </w:rPr>
        <w:t>：</w:t>
      </w:r>
      <w:r>
        <w:rPr>
          <w:rStyle w:val="14"/>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Cs/>
          <w:color w:val="000000" w:themeColor="text1"/>
          <w:sz w:val="32"/>
          <w:szCs w:val="32"/>
          <w:lang w:val="en-US" w:eastAsia="zh-CN"/>
          <w14:textFill>
            <w14:solidFill>
              <w14:schemeClr w14:val="tx1"/>
            </w14:solidFill>
          </w14:textFill>
        </w:rPr>
        <w:t>21.55</w:t>
      </w:r>
      <w:r>
        <w:rPr>
          <w:rStyle w:val="14"/>
          <w:rFonts w:hint="eastAsia" w:ascii="仿宋" w:hAnsi="仿宋" w:eastAsia="仿宋"/>
          <w:b w:val="0"/>
          <w:bCs/>
          <w:color w:val="000000" w:themeColor="text1"/>
          <w:sz w:val="32"/>
          <w:szCs w:val="32"/>
          <w14:textFill>
            <w14:solidFill>
              <w14:schemeClr w14:val="tx1"/>
            </w14:solidFill>
          </w14:textFill>
        </w:rPr>
        <w:t>万元，完成预算</w:t>
      </w:r>
      <w:r>
        <w:rPr>
          <w:rStyle w:val="14"/>
          <w:rFonts w:ascii="仿宋" w:hAnsi="仿宋" w:eastAsia="仿宋"/>
          <w:b w:val="0"/>
          <w:bCs/>
          <w:color w:val="000000" w:themeColor="text1"/>
          <w:sz w:val="32"/>
          <w:szCs w:val="32"/>
          <w14:textFill>
            <w14:solidFill>
              <w14:schemeClr w14:val="tx1"/>
            </w14:solidFill>
          </w14:textFill>
        </w:rPr>
        <w:t>100%</w:t>
      </w:r>
      <w:r>
        <w:rPr>
          <w:rStyle w:val="14"/>
          <w:rFonts w:hint="eastAsia" w:ascii="仿宋" w:hAnsi="仿宋" w:eastAsia="仿宋"/>
          <w:b w:val="0"/>
          <w:bCs/>
          <w:color w:val="000000" w:themeColor="text1"/>
          <w:sz w:val="32"/>
          <w:szCs w:val="32"/>
          <w14:textFill>
            <w14:solidFill>
              <w14:schemeClr w14:val="tx1"/>
            </w14:solidFill>
          </w14:textFill>
        </w:rPr>
        <w:t>，决算数与预算数持平。</w:t>
      </w:r>
    </w:p>
    <w:p>
      <w:pPr>
        <w:spacing w:line="600" w:lineRule="exact"/>
        <w:ind w:firstLine="640" w:firstLineChars="200"/>
        <w:rPr>
          <w:rStyle w:val="14"/>
          <w:rFonts w:ascii="仿宋" w:hAnsi="仿宋" w:eastAsia="仿宋"/>
          <w:b w:val="0"/>
          <w:bCs/>
          <w:color w:val="FF0000"/>
          <w:sz w:val="32"/>
          <w:szCs w:val="32"/>
        </w:rPr>
      </w:pPr>
      <w:r>
        <w:rPr>
          <w:rStyle w:val="14"/>
          <w:rFonts w:ascii="仿宋" w:hAnsi="仿宋" w:eastAsia="仿宋"/>
          <w:b w:val="0"/>
          <w:bCs/>
          <w:color w:val="000000" w:themeColor="text1"/>
          <w:sz w:val="32"/>
          <w:szCs w:val="32"/>
          <w14:textFill>
            <w14:solidFill>
              <w14:schemeClr w14:val="tx1"/>
            </w14:solidFill>
          </w14:textFill>
        </w:rPr>
        <w:t>3.</w:t>
      </w:r>
      <w:r>
        <w:rPr>
          <w:rStyle w:val="14"/>
          <w:rFonts w:hint="eastAsia" w:ascii="仿宋" w:hAnsi="仿宋" w:eastAsia="仿宋"/>
          <w:b w:val="0"/>
          <w:bCs/>
          <w:color w:val="000000" w:themeColor="text1"/>
          <w:sz w:val="32"/>
          <w:szCs w:val="32"/>
          <w14:textFill>
            <w14:solidFill>
              <w14:schemeClr w14:val="tx1"/>
            </w14:solidFill>
          </w14:textFill>
        </w:rPr>
        <w:t>社会保障和就业（类）行政事业养老保险支出（款）机关事业单位职业年金缴费支出（项）</w:t>
      </w:r>
      <w:r>
        <w:rPr>
          <w:rStyle w:val="14"/>
          <w:rFonts w:hint="eastAsia" w:ascii="仿宋" w:hAnsi="仿宋" w:eastAsia="仿宋"/>
          <w:b w:val="0"/>
          <w:bCs/>
          <w:color w:val="000000" w:themeColor="text1"/>
          <w:sz w:val="32"/>
          <w:szCs w:val="32"/>
          <w:lang w:eastAsia="zh-CN"/>
          <w14:textFill>
            <w14:solidFill>
              <w14:schemeClr w14:val="tx1"/>
            </w14:solidFill>
          </w14:textFill>
        </w:rPr>
        <w:t>：</w:t>
      </w:r>
      <w:r>
        <w:rPr>
          <w:rStyle w:val="14"/>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Cs/>
          <w:color w:val="000000" w:themeColor="text1"/>
          <w:sz w:val="32"/>
          <w:szCs w:val="32"/>
          <w:lang w:val="en-US" w:eastAsia="zh-CN"/>
          <w14:textFill>
            <w14:solidFill>
              <w14:schemeClr w14:val="tx1"/>
            </w14:solidFill>
          </w14:textFill>
        </w:rPr>
        <w:t>5.5</w:t>
      </w:r>
      <w:r>
        <w:rPr>
          <w:rStyle w:val="14"/>
          <w:rFonts w:hint="eastAsia" w:ascii="仿宋" w:hAnsi="仿宋" w:eastAsia="仿宋"/>
          <w:b w:val="0"/>
          <w:bCs/>
          <w:color w:val="000000" w:themeColor="text1"/>
          <w:sz w:val="32"/>
          <w:szCs w:val="32"/>
          <w14:textFill>
            <w14:solidFill>
              <w14:schemeClr w14:val="tx1"/>
            </w14:solidFill>
          </w14:textFill>
        </w:rPr>
        <w:t>万元，完成预算</w:t>
      </w:r>
      <w:r>
        <w:rPr>
          <w:rStyle w:val="14"/>
          <w:rFonts w:ascii="仿宋" w:hAnsi="仿宋" w:eastAsia="仿宋"/>
          <w:b w:val="0"/>
          <w:bCs/>
          <w:color w:val="000000" w:themeColor="text1"/>
          <w:sz w:val="32"/>
          <w:szCs w:val="32"/>
          <w14:textFill>
            <w14:solidFill>
              <w14:schemeClr w14:val="tx1"/>
            </w14:solidFill>
          </w14:textFill>
        </w:rPr>
        <w:t>100%</w:t>
      </w:r>
      <w:r>
        <w:rPr>
          <w:rStyle w:val="14"/>
          <w:rFonts w:hint="eastAsia" w:ascii="仿宋" w:hAnsi="仿宋" w:eastAsia="仿宋"/>
          <w:b w:val="0"/>
          <w:bCs/>
          <w:color w:val="000000" w:themeColor="text1"/>
          <w:sz w:val="32"/>
          <w:szCs w:val="32"/>
          <w14:textFill>
            <w14:solidFill>
              <w14:schemeClr w14:val="tx1"/>
            </w14:solidFill>
          </w14:textFill>
        </w:rPr>
        <w:t>，决算数与预算数持平。</w:t>
      </w:r>
    </w:p>
    <w:p>
      <w:pPr>
        <w:spacing w:line="600" w:lineRule="exact"/>
        <w:ind w:firstLine="640" w:firstLineChars="200"/>
        <w:rPr>
          <w:rStyle w:val="14"/>
          <w:rFonts w:ascii="仿宋" w:hAnsi="仿宋" w:eastAsia="仿宋"/>
          <w:b w:val="0"/>
          <w:bCs/>
          <w:color w:val="000000" w:themeColor="text1"/>
          <w:sz w:val="32"/>
          <w:szCs w:val="32"/>
          <w14:textFill>
            <w14:solidFill>
              <w14:schemeClr w14:val="tx1"/>
            </w14:solidFill>
          </w14:textFill>
        </w:rPr>
      </w:pPr>
      <w:r>
        <w:rPr>
          <w:rStyle w:val="14"/>
          <w:rFonts w:ascii="仿宋" w:hAnsi="仿宋" w:eastAsia="仿宋"/>
          <w:b w:val="0"/>
          <w:bCs/>
          <w:color w:val="000000" w:themeColor="text1"/>
          <w:sz w:val="32"/>
          <w:szCs w:val="32"/>
          <w14:textFill>
            <w14:solidFill>
              <w14:schemeClr w14:val="tx1"/>
            </w14:solidFill>
          </w14:textFill>
        </w:rPr>
        <w:t>4.</w:t>
      </w:r>
      <w:r>
        <w:rPr>
          <w:rFonts w:hint="eastAsia" w:ascii="仿宋" w:hAnsi="仿宋" w:eastAsia="仿宋"/>
          <w:bCs/>
          <w:color w:val="000000" w:themeColor="text1"/>
          <w:sz w:val="32"/>
          <w:szCs w:val="32"/>
          <w14:textFill>
            <w14:solidFill>
              <w14:schemeClr w14:val="tx1"/>
            </w14:solidFill>
          </w14:textFill>
        </w:rPr>
        <w:t>卫生健康</w:t>
      </w:r>
      <w:r>
        <w:rPr>
          <w:rStyle w:val="14"/>
          <w:rFonts w:hint="eastAsia" w:ascii="仿宋" w:hAnsi="仿宋" w:eastAsia="仿宋"/>
          <w:b w:val="0"/>
          <w:bCs/>
          <w:color w:val="000000" w:themeColor="text1"/>
          <w:sz w:val="32"/>
          <w:szCs w:val="32"/>
          <w14:textFill>
            <w14:solidFill>
              <w14:schemeClr w14:val="tx1"/>
            </w14:solidFill>
          </w14:textFill>
        </w:rPr>
        <w:t>（类）行政事业单位医疗（款）事业单位医疗（项）</w:t>
      </w:r>
      <w:r>
        <w:rPr>
          <w:rStyle w:val="14"/>
          <w:rFonts w:hint="eastAsia" w:ascii="仿宋" w:hAnsi="仿宋" w:eastAsia="仿宋"/>
          <w:b w:val="0"/>
          <w:bCs/>
          <w:color w:val="000000" w:themeColor="text1"/>
          <w:sz w:val="32"/>
          <w:szCs w:val="32"/>
          <w:lang w:eastAsia="zh-CN"/>
          <w14:textFill>
            <w14:solidFill>
              <w14:schemeClr w14:val="tx1"/>
            </w14:solidFill>
          </w14:textFill>
        </w:rPr>
        <w:t>：</w:t>
      </w:r>
      <w:r>
        <w:rPr>
          <w:rStyle w:val="14"/>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Cs/>
          <w:color w:val="000000" w:themeColor="text1"/>
          <w:sz w:val="32"/>
          <w:szCs w:val="32"/>
          <w:lang w:val="en-US" w:eastAsia="zh-CN"/>
          <w14:textFill>
            <w14:solidFill>
              <w14:schemeClr w14:val="tx1"/>
            </w14:solidFill>
          </w14:textFill>
        </w:rPr>
        <w:t>10.82</w:t>
      </w:r>
      <w:r>
        <w:rPr>
          <w:rStyle w:val="14"/>
          <w:rFonts w:hint="eastAsia" w:ascii="仿宋" w:hAnsi="仿宋" w:eastAsia="仿宋"/>
          <w:b w:val="0"/>
          <w:bCs/>
          <w:color w:val="000000" w:themeColor="text1"/>
          <w:sz w:val="32"/>
          <w:szCs w:val="32"/>
          <w14:textFill>
            <w14:solidFill>
              <w14:schemeClr w14:val="tx1"/>
            </w14:solidFill>
          </w14:textFill>
        </w:rPr>
        <w:t>万元，完成预算</w:t>
      </w:r>
      <w:r>
        <w:rPr>
          <w:rStyle w:val="14"/>
          <w:rFonts w:ascii="仿宋" w:hAnsi="仿宋" w:eastAsia="仿宋"/>
          <w:b w:val="0"/>
          <w:bCs/>
          <w:color w:val="000000" w:themeColor="text1"/>
          <w:sz w:val="32"/>
          <w:szCs w:val="32"/>
          <w14:textFill>
            <w14:solidFill>
              <w14:schemeClr w14:val="tx1"/>
            </w14:solidFill>
          </w14:textFill>
        </w:rPr>
        <w:t>100%</w:t>
      </w:r>
      <w:r>
        <w:rPr>
          <w:rStyle w:val="14"/>
          <w:rFonts w:hint="eastAsia" w:ascii="仿宋" w:hAnsi="仿宋" w:eastAsia="仿宋"/>
          <w:b w:val="0"/>
          <w:bCs/>
          <w:color w:val="000000" w:themeColor="text1"/>
          <w:sz w:val="32"/>
          <w:szCs w:val="32"/>
          <w14:textFill>
            <w14:solidFill>
              <w14:schemeClr w14:val="tx1"/>
            </w14:solidFill>
          </w14:textFill>
        </w:rPr>
        <w:t>，决算数与预算数持平。</w:t>
      </w:r>
    </w:p>
    <w:p>
      <w:pPr>
        <w:spacing w:line="600" w:lineRule="exact"/>
        <w:ind w:firstLine="640" w:firstLineChars="200"/>
        <w:rPr>
          <w:rFonts w:ascii="仿宋" w:hAnsi="仿宋" w:eastAsia="仿宋"/>
          <w:b/>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5.</w:t>
      </w:r>
      <w:r>
        <w:rPr>
          <w:rFonts w:hint="eastAsia" w:ascii="仿宋" w:hAnsi="仿宋" w:eastAsia="仿宋"/>
          <w:bCs/>
          <w:color w:val="000000" w:themeColor="text1"/>
          <w:sz w:val="32"/>
          <w:szCs w:val="32"/>
          <w14:textFill>
            <w14:solidFill>
              <w14:schemeClr w14:val="tx1"/>
            </w14:solidFill>
          </w14:textFill>
        </w:rPr>
        <w:t>住房保障</w:t>
      </w:r>
      <w:r>
        <w:rPr>
          <w:rStyle w:val="14"/>
          <w:rFonts w:hint="eastAsia" w:ascii="仿宋" w:hAnsi="仿宋" w:eastAsia="仿宋"/>
          <w:b w:val="0"/>
          <w:bCs/>
          <w:color w:val="000000" w:themeColor="text1"/>
          <w:sz w:val="32"/>
          <w:szCs w:val="32"/>
          <w14:textFill>
            <w14:solidFill>
              <w14:schemeClr w14:val="tx1"/>
            </w14:solidFill>
          </w14:textFill>
        </w:rPr>
        <w:t>（类）住房改革支出（款）住房公积金（项）</w:t>
      </w:r>
      <w:r>
        <w:rPr>
          <w:rFonts w:hint="eastAsia" w:ascii="仿宋" w:hAnsi="仿宋" w:eastAsia="仿宋"/>
          <w:bCs/>
          <w:color w:val="000000" w:themeColor="text1"/>
          <w:sz w:val="32"/>
          <w:szCs w:val="32"/>
          <w14:textFill>
            <w14:solidFill>
              <w14:schemeClr w14:val="tx1"/>
            </w14:solidFill>
          </w14:textFill>
        </w:rPr>
        <w:t>：</w:t>
      </w:r>
      <w:r>
        <w:rPr>
          <w:rStyle w:val="14"/>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Cs/>
          <w:color w:val="000000" w:themeColor="text1"/>
          <w:sz w:val="32"/>
          <w:szCs w:val="32"/>
          <w:lang w:val="en-US" w:eastAsia="zh-CN"/>
          <w14:textFill>
            <w14:solidFill>
              <w14:schemeClr w14:val="tx1"/>
            </w14:solidFill>
          </w14:textFill>
        </w:rPr>
        <w:t>31.51</w:t>
      </w:r>
      <w:r>
        <w:rPr>
          <w:rStyle w:val="14"/>
          <w:rFonts w:hint="eastAsia" w:ascii="仿宋" w:hAnsi="仿宋" w:eastAsia="仿宋"/>
          <w:b w:val="0"/>
          <w:bCs/>
          <w:color w:val="000000" w:themeColor="text1"/>
          <w:sz w:val="32"/>
          <w:szCs w:val="32"/>
          <w14:textFill>
            <w14:solidFill>
              <w14:schemeClr w14:val="tx1"/>
            </w14:solidFill>
          </w14:textFill>
        </w:rPr>
        <w:t>万元，完成预算</w:t>
      </w:r>
      <w:r>
        <w:rPr>
          <w:rStyle w:val="14"/>
          <w:rFonts w:ascii="仿宋" w:hAnsi="仿宋" w:eastAsia="仿宋"/>
          <w:b w:val="0"/>
          <w:bCs/>
          <w:color w:val="000000" w:themeColor="text1"/>
          <w:sz w:val="32"/>
          <w:szCs w:val="32"/>
          <w14:textFill>
            <w14:solidFill>
              <w14:schemeClr w14:val="tx1"/>
            </w14:solidFill>
          </w14:textFill>
        </w:rPr>
        <w:t>100%</w:t>
      </w:r>
      <w:r>
        <w:rPr>
          <w:rStyle w:val="14"/>
          <w:rFonts w:hint="eastAsia" w:ascii="仿宋" w:hAnsi="仿宋" w:eastAsia="仿宋"/>
          <w:b w:val="0"/>
          <w:bCs/>
          <w:color w:val="000000" w:themeColor="text1"/>
          <w:sz w:val="32"/>
          <w:szCs w:val="32"/>
          <w14:textFill>
            <w14:solidFill>
              <w14:schemeClr w14:val="tx1"/>
            </w14:solidFill>
          </w14:textFill>
        </w:rPr>
        <w:t>，决算数与预算数持平。</w:t>
      </w:r>
    </w:p>
    <w:p>
      <w:pPr>
        <w:tabs>
          <w:tab w:val="right" w:pos="8306"/>
        </w:tabs>
        <w:spacing w:line="600" w:lineRule="exact"/>
        <w:ind w:firstLine="640"/>
        <w:outlineLvl w:val="1"/>
        <w:rPr>
          <w:rStyle w:val="17"/>
          <w:color w:val="auto"/>
          <w:highlight w:val="none"/>
        </w:rPr>
      </w:pPr>
      <w:bookmarkStart w:id="52" w:name="_Toc15396608"/>
      <w:bookmarkStart w:id="53" w:name="_Toc15377214"/>
      <w:bookmarkStart w:id="54" w:name="_Toc18847"/>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17"/>
          <w:rFonts w:hint="eastAsia" w:ascii="黑体" w:hAnsi="黑体" w:eastAsia="黑体"/>
          <w:b w:val="0"/>
          <w:color w:val="auto"/>
          <w:highlight w:val="none"/>
        </w:rPr>
        <w:t>般公共预算财政拨款基本支出决算情况说明</w:t>
      </w:r>
      <w:bookmarkEnd w:id="52"/>
      <w:bookmarkEnd w:id="53"/>
      <w:bookmarkEnd w:id="54"/>
      <w:r>
        <w:rPr>
          <w:rStyle w:val="17"/>
          <w:rFonts w:ascii="黑体" w:hAnsi="黑体" w:eastAsia="黑体"/>
          <w:b w:val="0"/>
          <w:color w:val="auto"/>
          <w:highlight w:val="none"/>
        </w:rPr>
        <w:tab/>
      </w:r>
    </w:p>
    <w:p>
      <w:pPr>
        <w:spacing w:line="600" w:lineRule="exact"/>
        <w:ind w:firstLine="645"/>
        <w:rPr>
          <w:rFonts w:ascii="仿宋" w:hAnsi="仿宋" w:eastAsia="仿宋"/>
          <w:bCs/>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202</w:t>
      </w:r>
      <w:r>
        <w:rPr>
          <w:rFonts w:hint="eastAsia" w:ascii="仿宋" w:hAnsi="仿宋" w:eastAsia="仿宋"/>
          <w:bCs/>
          <w:color w:val="000000" w:themeColor="text1"/>
          <w:sz w:val="32"/>
          <w:szCs w:val="32"/>
          <w:lang w:val="en-US" w:eastAsia="zh-CN"/>
          <w14:textFill>
            <w14:solidFill>
              <w14:schemeClr w14:val="tx1"/>
            </w14:solidFill>
          </w14:textFill>
        </w:rPr>
        <w:t>2</w:t>
      </w:r>
      <w:r>
        <w:rPr>
          <w:rFonts w:hint="eastAsia" w:ascii="仿宋" w:hAnsi="仿宋" w:eastAsia="仿宋"/>
          <w:bCs/>
          <w:color w:val="000000" w:themeColor="text1"/>
          <w:sz w:val="32"/>
          <w:szCs w:val="32"/>
          <w14:textFill>
            <w14:solidFill>
              <w14:schemeClr w14:val="tx1"/>
            </w14:solidFill>
          </w14:textFill>
        </w:rPr>
        <w:t>年一般公共预算财政拨款基本支出</w:t>
      </w:r>
      <w:r>
        <w:rPr>
          <w:rFonts w:hint="eastAsia" w:ascii="仿宋" w:hAnsi="仿宋" w:eastAsia="仿宋"/>
          <w:bCs/>
          <w:color w:val="000000" w:themeColor="text1"/>
          <w:sz w:val="32"/>
          <w:szCs w:val="32"/>
          <w:lang w:val="en-US" w:eastAsia="zh-CN"/>
          <w14:textFill>
            <w14:solidFill>
              <w14:schemeClr w14:val="tx1"/>
            </w14:solidFill>
          </w14:textFill>
        </w:rPr>
        <w:t>372.62</w:t>
      </w:r>
      <w:r>
        <w:rPr>
          <w:rFonts w:hint="eastAsia" w:ascii="仿宋" w:hAnsi="仿宋" w:eastAsia="仿宋"/>
          <w:bCs/>
          <w:color w:val="000000" w:themeColor="text1"/>
          <w:sz w:val="32"/>
          <w:szCs w:val="32"/>
          <w14:textFill>
            <w14:solidFill>
              <w14:schemeClr w14:val="tx1"/>
            </w14:solidFill>
          </w14:textFill>
        </w:rPr>
        <w:t>万元，其中：</w:t>
      </w:r>
    </w:p>
    <w:p>
      <w:pPr>
        <w:spacing w:line="600" w:lineRule="exact"/>
        <w:ind w:firstLine="645"/>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人员经费</w:t>
      </w:r>
      <w:r>
        <w:rPr>
          <w:rFonts w:hint="eastAsia" w:ascii="仿宋" w:hAnsi="仿宋" w:eastAsia="仿宋"/>
          <w:bCs/>
          <w:color w:val="000000" w:themeColor="text1"/>
          <w:sz w:val="32"/>
          <w:szCs w:val="32"/>
          <w:lang w:val="en-US" w:eastAsia="zh-CN"/>
          <w14:textFill>
            <w14:solidFill>
              <w14:schemeClr w14:val="tx1"/>
            </w14:solidFill>
          </w14:textFill>
        </w:rPr>
        <w:t>338.7</w:t>
      </w:r>
      <w:r>
        <w:rPr>
          <w:rFonts w:hint="eastAsia" w:ascii="仿宋" w:hAnsi="仿宋" w:eastAsia="仿宋"/>
          <w:bCs/>
          <w:color w:val="000000" w:themeColor="text1"/>
          <w:sz w:val="32"/>
          <w:szCs w:val="32"/>
          <w14:textFill>
            <w14:solidFill>
              <w14:schemeClr w14:val="tx1"/>
            </w14:solidFill>
          </w14:textFill>
        </w:rPr>
        <w:t>万元，主要包括：基本工资、津贴补贴、奖金、绩效工资、机关事业单位基本养老保险缴费、职业年金缴费、</w:t>
      </w:r>
      <w:r>
        <w:rPr>
          <w:rFonts w:hint="eastAsia" w:ascii="仿宋" w:hAnsi="仿宋" w:eastAsia="仿宋"/>
          <w:bCs/>
          <w:color w:val="000000" w:themeColor="text1"/>
          <w:sz w:val="32"/>
          <w:szCs w:val="32"/>
          <w:lang w:eastAsia="zh-CN"/>
          <w14:textFill>
            <w14:solidFill>
              <w14:schemeClr w14:val="tx1"/>
            </w14:solidFill>
          </w14:textFill>
        </w:rPr>
        <w:t>职工基本医疗缴费、</w:t>
      </w:r>
      <w:r>
        <w:rPr>
          <w:rFonts w:hint="eastAsia" w:ascii="仿宋" w:hAnsi="仿宋" w:eastAsia="仿宋"/>
          <w:b w:val="0"/>
          <w:bCs/>
          <w:color w:val="000000" w:themeColor="text1"/>
          <w:sz w:val="32"/>
          <w:szCs w:val="32"/>
          <w14:textFill>
            <w14:solidFill>
              <w14:schemeClr w14:val="tx1"/>
            </w14:solidFill>
          </w14:textFill>
        </w:rPr>
        <w:t>其他社会保障缴费</w:t>
      </w:r>
      <w:r>
        <w:rPr>
          <w:rFonts w:hint="eastAsia" w:ascii="仿宋" w:hAnsi="仿宋" w:eastAsia="仿宋"/>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住房公积</w:t>
      </w:r>
      <w:r>
        <w:rPr>
          <w:rFonts w:hint="eastAsia" w:ascii="仿宋" w:hAnsi="仿宋" w:eastAsia="仿宋"/>
          <w:bCs/>
          <w:color w:val="000000" w:themeColor="text1"/>
          <w:sz w:val="32"/>
          <w:szCs w:val="32"/>
          <w14:textFill>
            <w14:solidFill>
              <w14:schemeClr w14:val="tx1"/>
            </w14:solidFill>
          </w14:textFill>
        </w:rPr>
        <w:t>金、</w:t>
      </w:r>
      <w:r>
        <w:rPr>
          <w:rFonts w:hint="eastAsia" w:ascii="仿宋" w:hAnsi="仿宋" w:eastAsia="仿宋"/>
          <w:bCs/>
          <w:color w:val="000000" w:themeColor="text1"/>
          <w:sz w:val="32"/>
          <w:szCs w:val="32"/>
          <w:lang w:eastAsia="zh-CN"/>
          <w14:textFill>
            <w14:solidFill>
              <w14:schemeClr w14:val="tx1"/>
            </w14:solidFill>
          </w14:textFill>
        </w:rPr>
        <w:t>其他工资福利支出、</w:t>
      </w:r>
      <w:r>
        <w:rPr>
          <w:rFonts w:hint="eastAsia" w:ascii="仿宋" w:hAnsi="仿宋" w:eastAsia="仿宋"/>
          <w:bCs/>
          <w:color w:val="000000" w:themeColor="text1"/>
          <w:sz w:val="32"/>
          <w:szCs w:val="32"/>
          <w14:textFill>
            <w14:solidFill>
              <w14:schemeClr w14:val="tx1"/>
            </w14:solidFill>
          </w14:textFill>
        </w:rPr>
        <w:t>生活补助、奖励</w:t>
      </w:r>
      <w:r>
        <w:rPr>
          <w:rFonts w:hint="eastAsia" w:ascii="仿宋" w:hAnsi="仿宋" w:eastAsia="仿宋"/>
          <w:bCs/>
          <w:color w:val="000000" w:themeColor="text1"/>
          <w:sz w:val="32"/>
          <w:szCs w:val="32"/>
          <w:lang w:val="en-US" w:eastAsia="zh-CN"/>
          <w14:textFill>
            <w14:solidFill>
              <w14:schemeClr w14:val="tx1"/>
            </w14:solidFill>
          </w14:textFill>
        </w:rPr>
        <w:t>金</w:t>
      </w:r>
      <w:r>
        <w:rPr>
          <w:rFonts w:hint="eastAsia" w:ascii="仿宋" w:hAnsi="仿宋" w:eastAsia="仿宋"/>
          <w:bCs/>
          <w:color w:val="000000" w:themeColor="text1"/>
          <w:sz w:val="32"/>
          <w:szCs w:val="32"/>
          <w14:textFill>
            <w14:solidFill>
              <w14:schemeClr w14:val="tx1"/>
            </w14:solidFill>
          </w14:textFill>
        </w:rPr>
        <w:t>。</w:t>
      </w:r>
    </w:p>
    <w:p>
      <w:pPr>
        <w:spacing w:line="600" w:lineRule="exact"/>
        <w:ind w:firstLine="645"/>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日常公用经费</w:t>
      </w:r>
      <w:r>
        <w:rPr>
          <w:rFonts w:hint="eastAsia" w:ascii="仿宋" w:hAnsi="仿宋" w:eastAsia="仿宋"/>
          <w:bCs/>
          <w:color w:val="000000" w:themeColor="text1"/>
          <w:sz w:val="32"/>
          <w:szCs w:val="32"/>
          <w:lang w:val="en-US" w:eastAsia="zh-CN"/>
          <w14:textFill>
            <w14:solidFill>
              <w14:schemeClr w14:val="tx1"/>
            </w14:solidFill>
          </w14:textFill>
        </w:rPr>
        <w:t>33.92</w:t>
      </w:r>
      <w:r>
        <w:rPr>
          <w:rFonts w:hint="eastAsia" w:ascii="仿宋" w:hAnsi="仿宋" w:eastAsia="仿宋"/>
          <w:bCs/>
          <w:color w:val="000000" w:themeColor="text1"/>
          <w:sz w:val="32"/>
          <w:szCs w:val="32"/>
          <w14:textFill>
            <w14:solidFill>
              <w14:schemeClr w14:val="tx1"/>
            </w14:solidFill>
          </w14:textFill>
        </w:rPr>
        <w:t>万元，主要包括：办公费、印刷费、手续费、水费、</w:t>
      </w:r>
      <w:r>
        <w:rPr>
          <w:rFonts w:hint="eastAsia" w:ascii="仿宋" w:hAnsi="仿宋" w:eastAsia="仿宋"/>
          <w:bCs/>
          <w:color w:val="000000" w:themeColor="text1"/>
          <w:sz w:val="32"/>
          <w:szCs w:val="32"/>
          <w:lang w:eastAsia="zh-CN"/>
          <w14:textFill>
            <w14:solidFill>
              <w14:schemeClr w14:val="tx1"/>
            </w14:solidFill>
          </w14:textFill>
        </w:rPr>
        <w:t>差旅费</w:t>
      </w:r>
      <w:r>
        <w:rPr>
          <w:rFonts w:hint="eastAsia" w:ascii="仿宋" w:hAnsi="仿宋" w:eastAsia="仿宋"/>
          <w:bCs/>
          <w:color w:val="000000" w:themeColor="text1"/>
          <w:sz w:val="32"/>
          <w:szCs w:val="32"/>
          <w14:textFill>
            <w14:solidFill>
              <w14:schemeClr w14:val="tx1"/>
            </w14:solidFill>
          </w14:textFill>
        </w:rPr>
        <w:t>、维修（护）费、培训费、工会经费、福利费、公务用车运行维护费、其他交通费</w:t>
      </w:r>
      <w:r>
        <w:rPr>
          <w:rFonts w:hint="eastAsia" w:ascii="仿宋" w:hAnsi="仿宋" w:eastAsia="仿宋"/>
          <w:bCs/>
          <w:color w:val="000000" w:themeColor="text1"/>
          <w:sz w:val="32"/>
          <w:szCs w:val="32"/>
          <w:lang w:val="en-US" w:eastAsia="zh-CN"/>
          <w14:textFill>
            <w14:solidFill>
              <w14:schemeClr w14:val="tx1"/>
            </w14:solidFill>
          </w14:textFill>
        </w:rPr>
        <w:t>用</w:t>
      </w:r>
      <w:r>
        <w:rPr>
          <w:rFonts w:hint="eastAsia" w:ascii="仿宋" w:hAnsi="仿宋" w:eastAsia="仿宋"/>
          <w:bCs/>
          <w:color w:val="000000" w:themeColor="text1"/>
          <w:sz w:val="32"/>
          <w:szCs w:val="32"/>
          <w14:textFill>
            <w14:solidFill>
              <w14:schemeClr w14:val="tx1"/>
            </w14:solidFill>
          </w14:textFill>
        </w:rPr>
        <w:t>、其他商品和服务支出。</w:t>
      </w:r>
    </w:p>
    <w:p>
      <w:pPr>
        <w:spacing w:line="600" w:lineRule="exact"/>
        <w:ind w:firstLine="640"/>
        <w:outlineLvl w:val="1"/>
        <w:rPr>
          <w:rStyle w:val="17"/>
          <w:rFonts w:ascii="黑体" w:hAnsi="黑体" w:eastAsia="黑体"/>
          <w:b w:val="0"/>
          <w:color w:val="auto"/>
          <w:highlight w:val="none"/>
        </w:rPr>
      </w:pPr>
      <w:bookmarkStart w:id="55" w:name="_Toc27063"/>
      <w:bookmarkStart w:id="56" w:name="_Toc15377215"/>
      <w:bookmarkStart w:id="57" w:name="_Toc15396609"/>
      <w:r>
        <w:rPr>
          <w:rFonts w:hint="eastAsia" w:ascii="黑体" w:eastAsia="黑体"/>
          <w:color w:val="auto"/>
          <w:sz w:val="32"/>
          <w:szCs w:val="32"/>
          <w:highlight w:val="none"/>
        </w:rPr>
        <w:t>七、</w:t>
      </w:r>
      <w:r>
        <w:rPr>
          <w:rStyle w:val="17"/>
          <w:rFonts w:hint="eastAsia" w:ascii="黑体" w:hAnsi="黑体" w:eastAsia="黑体"/>
          <w:b w:val="0"/>
          <w:color w:val="auto"/>
          <w:highlight w:val="none"/>
        </w:rPr>
        <w:t>财政拨款</w:t>
      </w:r>
      <w:r>
        <w:rPr>
          <w:rStyle w:val="17"/>
          <w:rFonts w:hint="eastAsia" w:ascii="黑体" w:hAnsi="黑体" w:eastAsia="黑体"/>
          <w:color w:val="auto"/>
          <w:highlight w:val="none"/>
        </w:rPr>
        <w:t>“</w:t>
      </w:r>
      <w:r>
        <w:rPr>
          <w:rStyle w:val="17"/>
          <w:rFonts w:hint="eastAsia" w:ascii="黑体" w:hAnsi="黑体" w:eastAsia="黑体"/>
          <w:b w:val="0"/>
          <w:color w:val="auto"/>
          <w:highlight w:val="none"/>
        </w:rPr>
        <w:t>三公”经费支出决算情况说明</w:t>
      </w:r>
      <w:bookmarkEnd w:id="55"/>
      <w:bookmarkEnd w:id="56"/>
      <w:bookmarkEnd w:id="57"/>
    </w:p>
    <w:p>
      <w:pPr>
        <w:spacing w:line="600" w:lineRule="exact"/>
        <w:ind w:firstLine="640"/>
        <w:outlineLvl w:val="2"/>
        <w:rPr>
          <w:rFonts w:ascii="仿宋" w:hAnsi="仿宋" w:eastAsia="仿宋"/>
          <w:color w:val="000000" w:themeColor="text1"/>
          <w:sz w:val="32"/>
          <w:szCs w:val="32"/>
          <w14:textFill>
            <w14:solidFill>
              <w14:schemeClr w14:val="tx1"/>
            </w14:solidFill>
          </w14:textFill>
        </w:rPr>
      </w:pPr>
      <w:bookmarkStart w:id="58" w:name="_Toc15377216"/>
      <w:bookmarkStart w:id="59" w:name="_Toc15318"/>
      <w:bookmarkStart w:id="60" w:name="_Toc15377218"/>
      <w:bookmarkStart w:id="61" w:name="_Toc15396610"/>
      <w:r>
        <w:rPr>
          <w:rFonts w:hint="eastAsia" w:ascii="仿宋" w:hAnsi="仿宋" w:eastAsia="仿宋"/>
          <w:color w:val="000000" w:themeColor="text1"/>
          <w:sz w:val="32"/>
          <w:szCs w:val="32"/>
          <w14:textFill>
            <w14:solidFill>
              <w14:schemeClr w14:val="tx1"/>
            </w14:solidFill>
          </w14:textFill>
        </w:rPr>
        <w:t>（一）“三公”经费财政拨款支出决算总体情况说明</w:t>
      </w:r>
      <w:bookmarkEnd w:id="58"/>
      <w:bookmarkEnd w:id="59"/>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年“三公”经费财政拨款支出决算为2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万元，预算数为</w:t>
      </w:r>
      <w:r>
        <w:rPr>
          <w:rFonts w:hint="eastAsia" w:ascii="仿宋" w:hAnsi="仿宋" w:eastAsia="仿宋"/>
          <w:color w:val="000000" w:themeColor="text1"/>
          <w:sz w:val="32"/>
          <w:szCs w:val="32"/>
          <w:lang w:val="en-US" w:eastAsia="zh-CN"/>
          <w14:textFill>
            <w14:solidFill>
              <w14:schemeClr w14:val="tx1"/>
            </w14:solidFill>
          </w14:textFill>
        </w:rPr>
        <w:t>5.6</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39.29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，决算数小于预算数的主要原因是精简开支，</w:t>
      </w:r>
      <w:r>
        <w:rPr>
          <w:rFonts w:hint="eastAsia" w:ascii="仿宋" w:hAnsi="仿宋" w:eastAsia="仿宋"/>
          <w:color w:val="000000" w:themeColor="text1"/>
          <w:sz w:val="32"/>
          <w:szCs w:val="32"/>
          <w:lang w:eastAsia="zh-CN"/>
          <w14:textFill>
            <w14:solidFill>
              <w14:schemeClr w14:val="tx1"/>
            </w14:solidFill>
          </w14:textFill>
        </w:rPr>
        <w:t>未发生</w:t>
      </w:r>
      <w:r>
        <w:rPr>
          <w:rFonts w:hint="eastAsia" w:ascii="仿宋" w:hAnsi="仿宋" w:eastAsia="仿宋"/>
          <w:color w:val="000000" w:themeColor="text1"/>
          <w:sz w:val="32"/>
          <w:szCs w:val="32"/>
          <w14:textFill>
            <w14:solidFill>
              <w14:schemeClr w14:val="tx1"/>
            </w14:solidFill>
          </w14:textFill>
        </w:rPr>
        <w:t>公务接待；减少公务车辆开支，降低公务车辆运行维护成本，压缩公务车辆派遣次数。</w:t>
      </w:r>
    </w:p>
    <w:p>
      <w:pPr>
        <w:spacing w:line="600" w:lineRule="exact"/>
        <w:ind w:firstLine="640"/>
        <w:outlineLvl w:val="2"/>
        <w:rPr>
          <w:rFonts w:ascii="仿宋" w:hAnsi="仿宋" w:eastAsia="仿宋"/>
          <w:b/>
          <w:bCs/>
          <w:color w:val="000000" w:themeColor="text1"/>
          <w:sz w:val="32"/>
          <w:szCs w:val="32"/>
          <w14:textFill>
            <w14:solidFill>
              <w14:schemeClr w14:val="tx1"/>
            </w14:solidFill>
          </w14:textFill>
        </w:rPr>
      </w:pPr>
      <w:bookmarkStart w:id="62" w:name="_Toc15377217"/>
      <w:bookmarkStart w:id="63" w:name="_Toc8631"/>
      <w:r>
        <w:rPr>
          <w:rFonts w:hint="eastAsia" w:ascii="仿宋" w:hAnsi="仿宋" w:eastAsia="仿宋"/>
          <w:b/>
          <w:bCs/>
          <w:color w:val="000000" w:themeColor="text1"/>
          <w:sz w:val="32"/>
          <w:szCs w:val="32"/>
          <w14:textFill>
            <w14:solidFill>
              <w14:schemeClr w14:val="tx1"/>
            </w14:solidFill>
          </w14:textFill>
        </w:rPr>
        <w:t>（二）“三公”经费财政拨款支出决算具体情况说明</w:t>
      </w:r>
      <w:bookmarkEnd w:id="62"/>
      <w:bookmarkEnd w:id="63"/>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年“三公”经费财政拨款支出决算中，因公出国（境）费支出决算</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；公务用车购置及运行维护费支出决算</w:t>
      </w:r>
      <w:r>
        <w:rPr>
          <w:rFonts w:hint="eastAsia" w:ascii="仿宋" w:hAnsi="仿宋" w:eastAsia="仿宋"/>
          <w:color w:val="000000" w:themeColor="text1"/>
          <w:sz w:val="32"/>
          <w:szCs w:val="32"/>
          <w:lang w:val="en-US" w:eastAsia="zh-CN"/>
          <w14:textFill>
            <w14:solidFill>
              <w14:schemeClr w14:val="tx1"/>
            </w14:solidFill>
          </w14:textFill>
        </w:rPr>
        <w:t>2.2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jc w:val="center"/>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1" locked="0" layoutInCell="1" allowOverlap="1">
            <wp:simplePos x="0" y="0"/>
            <wp:positionH relativeFrom="column">
              <wp:posOffset>258445</wp:posOffset>
            </wp:positionH>
            <wp:positionV relativeFrom="paragraph">
              <wp:posOffset>173355</wp:posOffset>
            </wp:positionV>
            <wp:extent cx="5210175" cy="2309495"/>
            <wp:effectExtent l="4445" t="4445" r="5080" b="10160"/>
            <wp:wrapTight wrapText="bothSides">
              <wp:wrapPolygon>
                <wp:start x="-18" y="-42"/>
                <wp:lineTo x="-18" y="21517"/>
                <wp:lineTo x="21582" y="21517"/>
                <wp:lineTo x="21582" y="-42"/>
                <wp:lineTo x="-18" y="-42"/>
              </wp:wrapPolygon>
            </wp:wrapTight>
            <wp:docPr id="9" name="图表 1" descr="7b0a202020202263686172745265734964223a202232303437363132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：“三公”经费财政拨款支出结构）</w:t>
      </w:r>
    </w:p>
    <w:p>
      <w:pPr>
        <w:spacing w:line="600" w:lineRule="exact"/>
        <w:ind w:firstLine="640"/>
      </w:pPr>
      <w:r>
        <w:rPr>
          <w:rFonts w:hint="eastAsia" w:ascii="仿宋" w:hAnsi="仿宋" w:eastAsia="仿宋"/>
          <w:color w:val="000000" w:themeColor="text1"/>
          <w:sz w:val="32"/>
          <w:szCs w:val="32"/>
          <w14:textFill>
            <w14:solidFill>
              <w14:schemeClr w14:val="tx1"/>
            </w14:solidFill>
          </w14:textFill>
        </w:rPr>
        <w:t>具体情况如下：</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、因公出国（境）经费支出</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w:t>
      </w:r>
      <w:r>
        <w:rPr>
          <w:rStyle w:val="14"/>
          <w:rFonts w:hint="eastAsia" w:ascii="仿宋" w:eastAsia="仿宋"/>
          <w:b w:val="0"/>
          <w:bCs/>
          <w:color w:val="000000" w:themeColor="text1"/>
          <w:sz w:val="32"/>
          <w:szCs w:val="32"/>
          <w14:textFill>
            <w14:solidFill>
              <w14:schemeClr w14:val="tx1"/>
            </w14:solidFill>
          </w14:textFill>
        </w:rPr>
        <w:t>年初未安排预算</w:t>
      </w:r>
      <w:r>
        <w:rPr>
          <w:rStyle w:val="14"/>
          <w:rFonts w:hint="eastAsia" w:ascii="仿宋" w:hAnsi="仿宋" w:eastAsia="仿宋"/>
          <w:b w:val="0"/>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全年安排因公出国（境）团组</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次，出国（境）</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人。因公出国（境）支出决算与</w:t>
      </w: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1年</w:t>
      </w:r>
      <w:r>
        <w:rPr>
          <w:rFonts w:hint="eastAsia" w:ascii="仿宋" w:hAnsi="仿宋" w:eastAsia="仿宋"/>
          <w:color w:val="000000" w:themeColor="text1"/>
          <w:sz w:val="32"/>
          <w:szCs w:val="32"/>
          <w14:textFill>
            <w14:solidFill>
              <w14:schemeClr w14:val="tx1"/>
            </w14:solidFill>
          </w14:textFill>
        </w:rPr>
        <w:t>持平。</w:t>
      </w:r>
    </w:p>
    <w:p>
      <w:pPr>
        <w:spacing w:line="600" w:lineRule="exact"/>
        <w:ind w:firstLine="640"/>
        <w:rPr>
          <w:rFonts w:ascii="??_GB2312" w:eastAsia="Times New Roman"/>
          <w:strike w:val="0"/>
          <w:dstrike w:val="0"/>
          <w:color w:val="000000" w:themeColor="text1"/>
          <w:sz w:val="32"/>
          <w:szCs w:val="32"/>
          <w14:textFill>
            <w14:solidFill>
              <w14:schemeClr w14:val="tx1"/>
            </w14:solidFill>
          </w14:textFill>
        </w:rPr>
      </w:pPr>
      <w:r>
        <w:rPr>
          <w:rFonts w:ascii="仿宋" w:hAnsi="仿宋" w:eastAsia="仿宋"/>
          <w:strike w:val="0"/>
          <w:dstrike w:val="0"/>
          <w:color w:val="000000" w:themeColor="text1"/>
          <w:sz w:val="32"/>
          <w:szCs w:val="32"/>
          <w14:textFill>
            <w14:solidFill>
              <w14:schemeClr w14:val="tx1"/>
            </w14:solidFill>
          </w14:textFill>
        </w:rPr>
        <w:t>2</w:t>
      </w:r>
      <w:r>
        <w:rPr>
          <w:rFonts w:hint="eastAsia" w:ascii="仿宋" w:hAnsi="仿宋" w:eastAsia="仿宋"/>
          <w:strike w:val="0"/>
          <w:dstrike w:val="0"/>
          <w:color w:val="000000" w:themeColor="text1"/>
          <w:sz w:val="32"/>
          <w:szCs w:val="32"/>
          <w14:textFill>
            <w14:solidFill>
              <w14:schemeClr w14:val="tx1"/>
            </w14:solidFill>
          </w14:textFill>
        </w:rPr>
        <w:t>、公务用车购置及运行维护费支出</w:t>
      </w:r>
      <w:r>
        <w:rPr>
          <w:rFonts w:hint="eastAsia" w:ascii="仿宋" w:hAnsi="仿宋" w:eastAsia="仿宋"/>
          <w:strike w:val="0"/>
          <w:dstrike w:val="0"/>
          <w:color w:val="000000" w:themeColor="text1"/>
          <w:sz w:val="32"/>
          <w:szCs w:val="32"/>
          <w:lang w:val="en-US" w:eastAsia="zh-CN"/>
          <w14:textFill>
            <w14:solidFill>
              <w14:schemeClr w14:val="tx1"/>
            </w14:solidFill>
          </w14:textFill>
        </w:rPr>
        <w:t>2.2</w:t>
      </w:r>
      <w:r>
        <w:rPr>
          <w:rFonts w:hint="eastAsia" w:ascii="仿宋" w:hAnsi="仿宋" w:eastAsia="仿宋"/>
          <w:strike w:val="0"/>
          <w:dstrike w:val="0"/>
          <w:color w:val="000000" w:themeColor="text1"/>
          <w:sz w:val="32"/>
          <w:szCs w:val="32"/>
          <w14:textFill>
            <w14:solidFill>
              <w14:schemeClr w14:val="tx1"/>
            </w14:solidFill>
          </w14:textFill>
        </w:rPr>
        <w:t>万元</w:t>
      </w:r>
      <w:r>
        <w:rPr>
          <w:rFonts w:hint="eastAsia" w:ascii="仿宋" w:hAnsi="仿宋" w:eastAsia="仿宋"/>
          <w:strike w:val="0"/>
          <w:dstrike w:val="0"/>
          <w:color w:val="000000" w:themeColor="text1"/>
          <w:sz w:val="32"/>
          <w:szCs w:val="32"/>
          <w:lang w:eastAsia="zh-CN"/>
          <w14:textFill>
            <w14:solidFill>
              <w14:schemeClr w14:val="tx1"/>
            </w14:solidFill>
          </w14:textFill>
        </w:rPr>
        <w:t>，</w:t>
      </w:r>
      <w:r>
        <w:rPr>
          <w:rFonts w:hint="eastAsia" w:ascii="仿宋" w:hAnsi="仿宋" w:eastAsia="仿宋"/>
          <w:strike w:val="0"/>
          <w:dstrike w:val="0"/>
          <w:color w:val="000000" w:themeColor="text1"/>
          <w:sz w:val="32"/>
          <w:szCs w:val="32"/>
          <w14:textFill>
            <w14:solidFill>
              <w14:schemeClr w14:val="tx1"/>
            </w14:solidFill>
          </w14:textFill>
        </w:rPr>
        <w:t>完成预算</w:t>
      </w:r>
      <w:r>
        <w:rPr>
          <w:rFonts w:hint="eastAsia" w:ascii="仿宋" w:hAnsi="仿宋" w:eastAsia="仿宋"/>
          <w:strike w:val="0"/>
          <w:dstrike w:val="0"/>
          <w:color w:val="000000" w:themeColor="text1"/>
          <w:sz w:val="32"/>
          <w:szCs w:val="32"/>
          <w:lang w:val="en-US" w:eastAsia="zh-CN"/>
          <w14:textFill>
            <w14:solidFill>
              <w14:schemeClr w14:val="tx1"/>
            </w14:solidFill>
          </w14:textFill>
        </w:rPr>
        <w:t>44.44</w:t>
      </w:r>
      <w:r>
        <w:rPr>
          <w:rFonts w:ascii="仿宋" w:hAnsi="仿宋" w:eastAsia="仿宋"/>
          <w:strike w:val="0"/>
          <w:dstrike w:val="0"/>
          <w:color w:val="000000" w:themeColor="text1"/>
          <w:sz w:val="32"/>
          <w:szCs w:val="32"/>
          <w14:textFill>
            <w14:solidFill>
              <w14:schemeClr w14:val="tx1"/>
            </w14:solidFill>
          </w14:textFill>
        </w:rPr>
        <w:t>%</w:t>
      </w:r>
      <w:r>
        <w:rPr>
          <w:rFonts w:hint="eastAsia" w:ascii="仿宋" w:hAnsi="仿宋" w:eastAsia="仿宋"/>
          <w:strike w:val="0"/>
          <w:dstrike w:val="0"/>
          <w:color w:val="000000" w:themeColor="text1"/>
          <w:sz w:val="32"/>
          <w:szCs w:val="32"/>
          <w14:textFill>
            <w14:solidFill>
              <w14:schemeClr w14:val="tx1"/>
            </w14:solidFill>
          </w14:textFill>
        </w:rPr>
        <w:t>，预算数为</w:t>
      </w:r>
      <w:r>
        <w:rPr>
          <w:rFonts w:ascii="仿宋" w:hAnsi="仿宋" w:eastAsia="仿宋"/>
          <w:strike w:val="0"/>
          <w:dstrike w:val="0"/>
          <w:color w:val="000000" w:themeColor="text1"/>
          <w:sz w:val="32"/>
          <w:szCs w:val="32"/>
          <w14:textFill>
            <w14:solidFill>
              <w14:schemeClr w14:val="tx1"/>
            </w14:solidFill>
          </w14:textFill>
        </w:rPr>
        <w:t>4.9</w:t>
      </w:r>
      <w:r>
        <w:rPr>
          <w:rFonts w:hint="eastAsia" w:ascii="仿宋" w:hAnsi="仿宋" w:eastAsia="仿宋"/>
          <w:strike w:val="0"/>
          <w:dstrike w:val="0"/>
          <w:color w:val="000000" w:themeColor="text1"/>
          <w:sz w:val="32"/>
          <w:szCs w:val="32"/>
          <w:lang w:val="en-US" w:eastAsia="zh-CN"/>
          <w14:textFill>
            <w14:solidFill>
              <w14:schemeClr w14:val="tx1"/>
            </w14:solidFill>
          </w14:textFill>
        </w:rPr>
        <w:t>5</w:t>
      </w:r>
      <w:r>
        <w:rPr>
          <w:rFonts w:hint="eastAsia" w:ascii="仿宋" w:hAnsi="仿宋" w:eastAsia="仿宋"/>
          <w:strike w:val="0"/>
          <w:dstrike w:val="0"/>
          <w:color w:val="000000" w:themeColor="text1"/>
          <w:sz w:val="32"/>
          <w:szCs w:val="32"/>
          <w14:textFill>
            <w14:solidFill>
              <w14:schemeClr w14:val="tx1"/>
            </w14:solidFill>
          </w14:textFill>
        </w:rPr>
        <w:t>万元。公务用车购置及运行维护费支出决算比</w:t>
      </w:r>
      <w:r>
        <w:rPr>
          <w:rFonts w:ascii="仿宋" w:hAnsi="仿宋" w:eastAsia="仿宋"/>
          <w:strike w:val="0"/>
          <w:dstrike w:val="0"/>
          <w:color w:val="000000" w:themeColor="text1"/>
          <w:sz w:val="32"/>
          <w:szCs w:val="32"/>
          <w14:textFill>
            <w14:solidFill>
              <w14:schemeClr w14:val="tx1"/>
            </w14:solidFill>
          </w14:textFill>
        </w:rPr>
        <w:t>202</w:t>
      </w:r>
      <w:r>
        <w:rPr>
          <w:rFonts w:hint="eastAsia" w:ascii="仿宋" w:hAnsi="仿宋" w:eastAsia="仿宋"/>
          <w:strike w:val="0"/>
          <w:dstrike w:val="0"/>
          <w:color w:val="000000" w:themeColor="text1"/>
          <w:sz w:val="32"/>
          <w:szCs w:val="32"/>
          <w:lang w:val="en-US" w:eastAsia="zh-CN"/>
          <w14:textFill>
            <w14:solidFill>
              <w14:schemeClr w14:val="tx1"/>
            </w14:solidFill>
          </w14:textFill>
        </w:rPr>
        <w:t>1</w:t>
      </w:r>
      <w:r>
        <w:rPr>
          <w:rFonts w:hint="eastAsia" w:ascii="仿宋" w:hAnsi="仿宋" w:eastAsia="仿宋"/>
          <w:strike w:val="0"/>
          <w:dstrike w:val="0"/>
          <w:color w:val="000000" w:themeColor="text1"/>
          <w:sz w:val="32"/>
          <w:szCs w:val="32"/>
          <w14:textFill>
            <w14:solidFill>
              <w14:schemeClr w14:val="tx1"/>
            </w14:solidFill>
          </w14:textFill>
        </w:rPr>
        <w:t>年减少</w:t>
      </w:r>
      <w:r>
        <w:rPr>
          <w:rFonts w:hint="eastAsia" w:ascii="仿宋" w:hAnsi="仿宋" w:eastAsia="仿宋"/>
          <w:strike w:val="0"/>
          <w:dstrike w:val="0"/>
          <w:color w:val="000000" w:themeColor="text1"/>
          <w:sz w:val="32"/>
          <w:szCs w:val="32"/>
          <w:lang w:val="en-US" w:eastAsia="zh-CN"/>
          <w14:textFill>
            <w14:solidFill>
              <w14:schemeClr w14:val="tx1"/>
            </w14:solidFill>
          </w14:textFill>
        </w:rPr>
        <w:t>2.6</w:t>
      </w:r>
      <w:r>
        <w:rPr>
          <w:rFonts w:hint="eastAsia" w:ascii="仿宋" w:hAnsi="仿宋" w:eastAsia="仿宋"/>
          <w:strike w:val="0"/>
          <w:dstrike w:val="0"/>
          <w:color w:val="000000" w:themeColor="text1"/>
          <w:sz w:val="32"/>
          <w:szCs w:val="32"/>
          <w14:textFill>
            <w14:solidFill>
              <w14:schemeClr w14:val="tx1"/>
            </w14:solidFill>
          </w14:textFill>
        </w:rPr>
        <w:t>万元，减少</w:t>
      </w:r>
      <w:r>
        <w:rPr>
          <w:rFonts w:hint="eastAsia" w:ascii="仿宋" w:hAnsi="仿宋" w:eastAsia="仿宋"/>
          <w:strike w:val="0"/>
          <w:dstrike w:val="0"/>
          <w:color w:val="000000" w:themeColor="text1"/>
          <w:sz w:val="32"/>
          <w:szCs w:val="32"/>
          <w:lang w:val="en-US" w:eastAsia="zh-CN"/>
          <w14:textFill>
            <w14:solidFill>
              <w14:schemeClr w14:val="tx1"/>
            </w14:solidFill>
          </w14:textFill>
        </w:rPr>
        <w:t>54.17</w:t>
      </w:r>
      <w:r>
        <w:rPr>
          <w:rFonts w:hint="eastAsia" w:ascii="仿宋" w:hAnsi="仿宋" w:eastAsia="仿宋"/>
          <w:strike w:val="0"/>
          <w:dstrike w:val="0"/>
          <w:color w:val="000000" w:themeColor="text1"/>
          <w:sz w:val="32"/>
          <w:szCs w:val="32"/>
          <w14:textFill>
            <w14:solidFill>
              <w14:schemeClr w14:val="tx1"/>
            </w14:solidFill>
          </w14:textFill>
        </w:rPr>
        <w:t>%。主要原因减少公务车辆开支，降低公务车辆运行维护成本，压缩公务车辆派遣次数。</w:t>
      </w:r>
    </w:p>
    <w:p>
      <w:pPr>
        <w:spacing w:line="600" w:lineRule="exact"/>
        <w:ind w:firstLine="640" w:firstLineChars="200"/>
        <w:rPr>
          <w:rFonts w:ascii="仿宋" w:hAnsi="仿宋" w:eastAsia="仿宋"/>
          <w:strike w:val="0"/>
          <w:dstrike w:val="0"/>
          <w:color w:val="000000" w:themeColor="text1"/>
          <w:sz w:val="32"/>
          <w:szCs w:val="32"/>
          <w14:textFill>
            <w14:solidFill>
              <w14:schemeClr w14:val="tx1"/>
            </w14:solidFill>
          </w14:textFill>
        </w:rPr>
      </w:pPr>
      <w:r>
        <w:rPr>
          <w:rFonts w:hint="eastAsia" w:ascii="仿宋" w:hAnsi="仿宋" w:eastAsia="仿宋"/>
          <w:strike w:val="0"/>
          <w:dstrike w:val="0"/>
          <w:color w:val="000000" w:themeColor="text1"/>
          <w:sz w:val="32"/>
          <w:szCs w:val="32"/>
          <w14:textFill>
            <w14:solidFill>
              <w14:schemeClr w14:val="tx1"/>
            </w14:solidFill>
          </w14:textFill>
        </w:rPr>
        <w:t>其中：公务用车购置支出</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万元。全年按规定更新购置公务用车</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辆，截至</w:t>
      </w:r>
      <w:r>
        <w:rPr>
          <w:rFonts w:ascii="仿宋" w:hAnsi="仿宋" w:eastAsia="仿宋"/>
          <w:strike w:val="0"/>
          <w:dstrike w:val="0"/>
          <w:color w:val="000000" w:themeColor="text1"/>
          <w:sz w:val="32"/>
          <w:szCs w:val="32"/>
          <w14:textFill>
            <w14:solidFill>
              <w14:schemeClr w14:val="tx1"/>
            </w14:solidFill>
          </w14:textFill>
        </w:rPr>
        <w:t>202</w:t>
      </w:r>
      <w:r>
        <w:rPr>
          <w:rFonts w:hint="eastAsia" w:ascii="仿宋" w:hAnsi="仿宋" w:eastAsia="仿宋"/>
          <w:strike w:val="0"/>
          <w:dstrike w:val="0"/>
          <w:color w:val="000000" w:themeColor="text1"/>
          <w:sz w:val="32"/>
          <w:szCs w:val="32"/>
          <w:lang w:val="en-US" w:eastAsia="zh-CN"/>
          <w14:textFill>
            <w14:solidFill>
              <w14:schemeClr w14:val="tx1"/>
            </w14:solidFill>
          </w14:textFill>
        </w:rPr>
        <w:t>2</w:t>
      </w:r>
      <w:r>
        <w:rPr>
          <w:rFonts w:hint="eastAsia" w:ascii="仿宋" w:hAnsi="仿宋" w:eastAsia="仿宋"/>
          <w:strike w:val="0"/>
          <w:dstrike w:val="0"/>
          <w:color w:val="000000" w:themeColor="text1"/>
          <w:sz w:val="32"/>
          <w:szCs w:val="32"/>
          <w14:textFill>
            <w14:solidFill>
              <w14:schemeClr w14:val="tx1"/>
            </w14:solidFill>
          </w14:textFill>
        </w:rPr>
        <w:t>年</w:t>
      </w:r>
      <w:r>
        <w:rPr>
          <w:rFonts w:ascii="仿宋" w:hAnsi="仿宋" w:eastAsia="仿宋"/>
          <w:strike w:val="0"/>
          <w:dstrike w:val="0"/>
          <w:color w:val="000000" w:themeColor="text1"/>
          <w:sz w:val="32"/>
          <w:szCs w:val="32"/>
          <w14:textFill>
            <w14:solidFill>
              <w14:schemeClr w14:val="tx1"/>
            </w14:solidFill>
          </w14:textFill>
        </w:rPr>
        <w:t>12</w:t>
      </w:r>
      <w:r>
        <w:rPr>
          <w:rFonts w:hint="eastAsia" w:ascii="仿宋" w:hAnsi="仿宋" w:eastAsia="仿宋"/>
          <w:strike w:val="0"/>
          <w:dstrike w:val="0"/>
          <w:color w:val="000000" w:themeColor="text1"/>
          <w:sz w:val="32"/>
          <w:szCs w:val="32"/>
          <w14:textFill>
            <w14:solidFill>
              <w14:schemeClr w14:val="tx1"/>
            </w14:solidFill>
          </w14:textFill>
        </w:rPr>
        <w:t>月底，单位共有公务用车</w:t>
      </w:r>
      <w:r>
        <w:rPr>
          <w:rFonts w:ascii="仿宋" w:hAnsi="仿宋" w:eastAsia="仿宋"/>
          <w:strike w:val="0"/>
          <w:dstrike w:val="0"/>
          <w:color w:val="000000" w:themeColor="text1"/>
          <w:sz w:val="32"/>
          <w:szCs w:val="32"/>
          <w14:textFill>
            <w14:solidFill>
              <w14:schemeClr w14:val="tx1"/>
            </w14:solidFill>
          </w14:textFill>
        </w:rPr>
        <w:t>1</w:t>
      </w:r>
      <w:r>
        <w:rPr>
          <w:rFonts w:hint="eastAsia" w:ascii="仿宋" w:hAnsi="仿宋" w:eastAsia="仿宋"/>
          <w:strike w:val="0"/>
          <w:dstrike w:val="0"/>
          <w:color w:val="000000" w:themeColor="text1"/>
          <w:sz w:val="32"/>
          <w:szCs w:val="32"/>
          <w14:textFill>
            <w14:solidFill>
              <w14:schemeClr w14:val="tx1"/>
            </w14:solidFill>
          </w14:textFill>
        </w:rPr>
        <w:t>辆，其中：轿车</w:t>
      </w:r>
      <w:r>
        <w:rPr>
          <w:rFonts w:ascii="仿宋" w:hAnsi="仿宋" w:eastAsia="仿宋"/>
          <w:strike w:val="0"/>
          <w:dstrike w:val="0"/>
          <w:color w:val="000000" w:themeColor="text1"/>
          <w:sz w:val="32"/>
          <w:szCs w:val="32"/>
          <w14:textFill>
            <w14:solidFill>
              <w14:schemeClr w14:val="tx1"/>
            </w14:solidFill>
          </w14:textFill>
        </w:rPr>
        <w:t>1</w:t>
      </w:r>
      <w:r>
        <w:rPr>
          <w:rFonts w:hint="eastAsia" w:ascii="仿宋" w:hAnsi="仿宋" w:eastAsia="仿宋"/>
          <w:strike w:val="0"/>
          <w:dstrike w:val="0"/>
          <w:color w:val="000000" w:themeColor="text1"/>
          <w:sz w:val="32"/>
          <w:szCs w:val="32"/>
          <w14:textFill>
            <w14:solidFill>
              <w14:schemeClr w14:val="tx1"/>
            </w14:solidFill>
          </w14:textFill>
        </w:rPr>
        <w:t>辆。</w:t>
      </w:r>
    </w:p>
    <w:p>
      <w:pPr>
        <w:spacing w:line="600" w:lineRule="exact"/>
        <w:ind w:firstLine="640"/>
        <w:rPr>
          <w:rFonts w:ascii="仿宋" w:hAnsi="仿宋" w:eastAsia="仿宋"/>
          <w:strike w:val="0"/>
          <w:dstrike w:val="0"/>
          <w:color w:val="000000" w:themeColor="text1"/>
          <w:sz w:val="32"/>
          <w:szCs w:val="32"/>
          <w14:textFill>
            <w14:solidFill>
              <w14:schemeClr w14:val="tx1"/>
            </w14:solidFill>
          </w14:textFill>
        </w:rPr>
      </w:pPr>
      <w:r>
        <w:rPr>
          <w:rFonts w:hint="eastAsia" w:ascii="仿宋" w:hAnsi="仿宋" w:eastAsia="仿宋"/>
          <w:strike w:val="0"/>
          <w:dstrike w:val="0"/>
          <w:color w:val="000000" w:themeColor="text1"/>
          <w:sz w:val="32"/>
          <w:szCs w:val="32"/>
          <w14:textFill>
            <w14:solidFill>
              <w14:schemeClr w14:val="tx1"/>
            </w14:solidFill>
          </w14:textFill>
        </w:rPr>
        <w:t>公务用车运行维护费支出</w:t>
      </w:r>
      <w:r>
        <w:rPr>
          <w:rFonts w:hint="eastAsia" w:ascii="仿宋" w:hAnsi="仿宋" w:eastAsia="仿宋"/>
          <w:strike w:val="0"/>
          <w:dstrike w:val="0"/>
          <w:color w:val="000000" w:themeColor="text1"/>
          <w:sz w:val="32"/>
          <w:szCs w:val="32"/>
          <w:lang w:val="en-US" w:eastAsia="zh-CN"/>
          <w14:textFill>
            <w14:solidFill>
              <w14:schemeClr w14:val="tx1"/>
            </w14:solidFill>
          </w14:textFill>
        </w:rPr>
        <w:t>2.2</w:t>
      </w:r>
      <w:r>
        <w:rPr>
          <w:rFonts w:hint="eastAsia" w:ascii="仿宋" w:hAnsi="仿宋" w:eastAsia="仿宋"/>
          <w:strike w:val="0"/>
          <w:dstrike w:val="0"/>
          <w:color w:val="000000" w:themeColor="text1"/>
          <w:sz w:val="32"/>
          <w:szCs w:val="32"/>
          <w14:textFill>
            <w14:solidFill>
              <w14:schemeClr w14:val="tx1"/>
            </w14:solidFill>
          </w14:textFill>
        </w:rPr>
        <w:t>万元。主要用于</w:t>
      </w:r>
      <w:r>
        <w:rPr>
          <w:rFonts w:hint="eastAsia" w:ascii="仿宋" w:hAnsi="仿宋" w:eastAsia="仿宋"/>
          <w:strike w:val="0"/>
          <w:dstrike w:val="0"/>
          <w:color w:val="000000" w:themeColor="text1"/>
          <w:sz w:val="32"/>
          <w:szCs w:val="32"/>
          <w:lang w:eastAsia="zh-CN"/>
          <w14:textFill>
            <w14:solidFill>
              <w14:schemeClr w14:val="tx1"/>
            </w14:solidFill>
          </w14:textFill>
        </w:rPr>
        <w:t>到帮扶村开展帮扶工作、</w:t>
      </w:r>
      <w:r>
        <w:rPr>
          <w:rFonts w:hint="eastAsia" w:ascii="仿宋" w:hAnsi="仿宋" w:eastAsia="仿宋"/>
          <w:strike w:val="0"/>
          <w:dstrike w:val="0"/>
          <w:color w:val="000000" w:themeColor="text1"/>
          <w:sz w:val="32"/>
          <w:szCs w:val="32"/>
          <w14:textFill>
            <w14:solidFill>
              <w14:schemeClr w14:val="tx1"/>
            </w14:solidFill>
          </w14:textFill>
        </w:rPr>
        <w:t>外地出差等所需的公务用车燃料费、维修费、过路过桥费、保险费等支出</w:t>
      </w:r>
      <w:r>
        <w:rPr>
          <w:rFonts w:hint="eastAsia" w:ascii="仿宋" w:hAnsi="仿宋" w:eastAsia="仿宋"/>
          <w:strike w:val="0"/>
          <w:dstrike w:val="0"/>
          <w:color w:val="000000" w:themeColor="text1"/>
          <w:sz w:val="32"/>
          <w:szCs w:val="32"/>
          <w:lang w:eastAsia="zh-CN"/>
          <w14:textFill>
            <w14:solidFill>
              <w14:schemeClr w14:val="tx1"/>
            </w14:solidFill>
          </w14:textFill>
        </w:rPr>
        <w:t>等</w:t>
      </w:r>
      <w:r>
        <w:rPr>
          <w:rFonts w:hint="eastAsia" w:ascii="仿宋" w:hAnsi="仿宋" w:eastAsia="仿宋"/>
          <w:strike w:val="0"/>
          <w:dstrike w:val="0"/>
          <w:color w:val="000000" w:themeColor="text1"/>
          <w:sz w:val="32"/>
          <w:szCs w:val="32"/>
          <w14:textFill>
            <w14:solidFill>
              <w14:schemeClr w14:val="tx1"/>
            </w14:solidFill>
          </w14:textFill>
        </w:rPr>
        <w:t>。</w:t>
      </w:r>
    </w:p>
    <w:p>
      <w:pPr>
        <w:numPr>
          <w:ilvl w:val="0"/>
          <w:numId w:val="3"/>
        </w:numPr>
        <w:spacing w:line="600" w:lineRule="exact"/>
        <w:ind w:firstLine="640" w:firstLineChars="200"/>
        <w:rPr>
          <w:rFonts w:hint="eastAsia" w:ascii="仿宋" w:hAnsi="仿宋" w:eastAsia="仿宋"/>
          <w:strike w:val="0"/>
          <w:dstrike w:val="0"/>
          <w:color w:val="000000" w:themeColor="text1"/>
          <w:sz w:val="32"/>
          <w:szCs w:val="32"/>
          <w:lang w:val="en-US" w:eastAsia="zh-CN"/>
          <w14:textFill>
            <w14:solidFill>
              <w14:schemeClr w14:val="tx1"/>
            </w14:solidFill>
          </w14:textFill>
        </w:rPr>
      </w:pPr>
      <w:r>
        <w:rPr>
          <w:rFonts w:hint="eastAsia" w:ascii="仿宋" w:hAnsi="仿宋" w:eastAsia="仿宋"/>
          <w:strike w:val="0"/>
          <w:dstrike w:val="0"/>
          <w:color w:val="000000" w:themeColor="text1"/>
          <w:sz w:val="32"/>
          <w:szCs w:val="32"/>
          <w14:textFill>
            <w14:solidFill>
              <w14:schemeClr w14:val="tx1"/>
            </w14:solidFill>
          </w14:textFill>
        </w:rPr>
        <w:t>公务接待费支出</w:t>
      </w:r>
      <w:r>
        <w:rPr>
          <w:rFonts w:hint="eastAsia" w:ascii="仿宋" w:hAnsi="仿宋" w:eastAsia="仿宋"/>
          <w:strike w:val="0"/>
          <w:dstrike w:val="0"/>
          <w:color w:val="000000" w:themeColor="text1"/>
          <w:sz w:val="32"/>
          <w:szCs w:val="32"/>
          <w:lang w:val="en-US" w:eastAsia="zh-CN"/>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万元，完成预算</w:t>
      </w:r>
      <w:r>
        <w:rPr>
          <w:rFonts w:hint="eastAsia" w:ascii="仿宋" w:hAnsi="仿宋" w:eastAsia="仿宋"/>
          <w:strike w:val="0"/>
          <w:dstrike w:val="0"/>
          <w:color w:val="000000" w:themeColor="text1"/>
          <w:sz w:val="32"/>
          <w:szCs w:val="32"/>
          <w:lang w:val="en-US" w:eastAsia="zh-CN"/>
          <w14:textFill>
            <w14:solidFill>
              <w14:schemeClr w14:val="tx1"/>
            </w14:solidFill>
          </w14:textFill>
        </w:rPr>
        <w:t>0</w:t>
      </w:r>
      <w:r>
        <w:rPr>
          <w:rFonts w:ascii="仿宋" w:hAnsi="仿宋" w:eastAsia="仿宋"/>
          <w:strike w:val="0"/>
          <w:dstrike w:val="0"/>
          <w:color w:val="000000" w:themeColor="text1"/>
          <w:sz w:val="32"/>
          <w:szCs w:val="32"/>
          <w14:textFill>
            <w14:solidFill>
              <w14:schemeClr w14:val="tx1"/>
            </w14:solidFill>
          </w14:textFill>
        </w:rPr>
        <w:t>%</w:t>
      </w:r>
      <w:r>
        <w:rPr>
          <w:rFonts w:hint="eastAsia" w:ascii="仿宋" w:hAnsi="仿宋" w:eastAsia="仿宋"/>
          <w:strike w:val="0"/>
          <w:dstrike w:val="0"/>
          <w:color w:val="000000" w:themeColor="text1"/>
          <w:sz w:val="32"/>
          <w:szCs w:val="32"/>
          <w14:textFill>
            <w14:solidFill>
              <w14:schemeClr w14:val="tx1"/>
            </w14:solidFill>
          </w14:textFill>
        </w:rPr>
        <w:t>，预算数为</w:t>
      </w:r>
      <w:r>
        <w:rPr>
          <w:rFonts w:hint="eastAsia" w:ascii="仿宋" w:hAnsi="仿宋" w:eastAsia="仿宋"/>
          <w:strike w:val="0"/>
          <w:dstrike w:val="0"/>
          <w:color w:val="000000" w:themeColor="text1"/>
          <w:sz w:val="32"/>
          <w:szCs w:val="32"/>
          <w:lang w:val="en-US" w:eastAsia="zh-CN"/>
          <w14:textFill>
            <w14:solidFill>
              <w14:schemeClr w14:val="tx1"/>
            </w14:solidFill>
          </w14:textFill>
        </w:rPr>
        <w:t>0.65</w:t>
      </w:r>
      <w:r>
        <w:rPr>
          <w:rFonts w:hint="eastAsia" w:ascii="仿宋" w:hAnsi="仿宋" w:eastAsia="仿宋"/>
          <w:strike w:val="0"/>
          <w:dstrike w:val="0"/>
          <w:color w:val="000000" w:themeColor="text1"/>
          <w:sz w:val="32"/>
          <w:szCs w:val="32"/>
          <w14:textFill>
            <w14:solidFill>
              <w14:schemeClr w14:val="tx1"/>
            </w14:solidFill>
          </w14:textFill>
        </w:rPr>
        <w:t>万元。公务接待费支出决算比</w:t>
      </w:r>
      <w:r>
        <w:rPr>
          <w:rFonts w:ascii="仿宋" w:hAnsi="仿宋" w:eastAsia="仿宋"/>
          <w:strike w:val="0"/>
          <w:dstrike w:val="0"/>
          <w:color w:val="000000" w:themeColor="text1"/>
          <w:sz w:val="32"/>
          <w:szCs w:val="32"/>
          <w14:textFill>
            <w14:solidFill>
              <w14:schemeClr w14:val="tx1"/>
            </w14:solidFill>
          </w14:textFill>
        </w:rPr>
        <w:t>202</w:t>
      </w:r>
      <w:r>
        <w:rPr>
          <w:rFonts w:hint="eastAsia" w:ascii="仿宋" w:hAnsi="仿宋" w:eastAsia="仿宋"/>
          <w:strike w:val="0"/>
          <w:dstrike w:val="0"/>
          <w:color w:val="000000" w:themeColor="text1"/>
          <w:sz w:val="32"/>
          <w:szCs w:val="32"/>
          <w:lang w:val="en-US" w:eastAsia="zh-CN"/>
          <w14:textFill>
            <w14:solidFill>
              <w14:schemeClr w14:val="tx1"/>
            </w14:solidFill>
          </w14:textFill>
        </w:rPr>
        <w:t>1</w:t>
      </w:r>
      <w:r>
        <w:rPr>
          <w:rFonts w:hint="eastAsia" w:ascii="仿宋" w:hAnsi="仿宋" w:eastAsia="仿宋"/>
          <w:strike w:val="0"/>
          <w:dstrike w:val="0"/>
          <w:color w:val="000000" w:themeColor="text1"/>
          <w:sz w:val="32"/>
          <w:szCs w:val="32"/>
          <w14:textFill>
            <w14:solidFill>
              <w14:schemeClr w14:val="tx1"/>
            </w14:solidFill>
          </w14:textFill>
        </w:rPr>
        <w:t>年</w:t>
      </w:r>
      <w:r>
        <w:rPr>
          <w:rFonts w:hint="eastAsia" w:ascii="仿宋" w:hAnsi="仿宋" w:eastAsia="仿宋"/>
          <w:strike w:val="0"/>
          <w:dstrike w:val="0"/>
          <w:color w:val="000000" w:themeColor="text1"/>
          <w:sz w:val="32"/>
          <w:szCs w:val="32"/>
          <w:lang w:eastAsia="zh-CN"/>
          <w14:textFill>
            <w14:solidFill>
              <w14:schemeClr w14:val="tx1"/>
            </w14:solidFill>
          </w14:textFill>
        </w:rPr>
        <w:t>减少</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lang w:val="en-US" w:eastAsia="zh-CN"/>
          <w14:textFill>
            <w14:solidFill>
              <w14:schemeClr w14:val="tx1"/>
            </w14:solidFill>
          </w14:textFill>
        </w:rPr>
        <w:t>34</w:t>
      </w:r>
      <w:r>
        <w:rPr>
          <w:rFonts w:hint="eastAsia" w:ascii="仿宋" w:hAnsi="仿宋" w:eastAsia="仿宋"/>
          <w:strike w:val="0"/>
          <w:dstrike w:val="0"/>
          <w:color w:val="000000" w:themeColor="text1"/>
          <w:sz w:val="32"/>
          <w:szCs w:val="32"/>
          <w14:textFill>
            <w14:solidFill>
              <w14:schemeClr w14:val="tx1"/>
            </w14:solidFill>
          </w14:textFill>
        </w:rPr>
        <w:t>万元，</w:t>
      </w:r>
      <w:r>
        <w:rPr>
          <w:rFonts w:hint="eastAsia" w:ascii="仿宋" w:hAnsi="仿宋" w:eastAsia="仿宋"/>
          <w:strike w:val="0"/>
          <w:dstrike w:val="0"/>
          <w:color w:val="000000" w:themeColor="text1"/>
          <w:sz w:val="32"/>
          <w:szCs w:val="32"/>
          <w:lang w:eastAsia="zh-CN"/>
          <w14:textFill>
            <w14:solidFill>
              <w14:schemeClr w14:val="tx1"/>
            </w14:solidFill>
          </w14:textFill>
        </w:rPr>
        <w:t>减少</w:t>
      </w:r>
      <w:r>
        <w:rPr>
          <w:rFonts w:hint="eastAsia" w:ascii="仿宋" w:hAnsi="仿宋" w:eastAsia="仿宋"/>
          <w:strike w:val="0"/>
          <w:dstrike w:val="0"/>
          <w:color w:val="000000" w:themeColor="text1"/>
          <w:sz w:val="32"/>
          <w:szCs w:val="32"/>
          <w:lang w:val="en-US" w:eastAsia="zh-CN"/>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%。主要原因是</w:t>
      </w:r>
      <w:r>
        <w:rPr>
          <w:rFonts w:hint="eastAsia" w:ascii="仿宋" w:hAnsi="仿宋" w:eastAsia="仿宋"/>
          <w:strike w:val="0"/>
          <w:dstrike w:val="0"/>
          <w:color w:val="000000" w:themeColor="text1"/>
          <w:sz w:val="32"/>
          <w:szCs w:val="32"/>
          <w:lang w:eastAsia="zh-CN"/>
          <w14:textFill>
            <w14:solidFill>
              <w14:schemeClr w14:val="tx1"/>
            </w14:solidFill>
          </w14:textFill>
        </w:rPr>
        <w:t>疫情期间，</w:t>
      </w:r>
      <w:r>
        <w:rPr>
          <w:rFonts w:hint="eastAsia" w:ascii="仿宋" w:hAnsi="仿宋" w:eastAsia="仿宋"/>
          <w:strike w:val="0"/>
          <w:dstrike w:val="0"/>
          <w:color w:val="000000" w:themeColor="text1"/>
          <w:sz w:val="32"/>
          <w:szCs w:val="32"/>
          <w:lang w:val="en-US" w:eastAsia="zh-CN"/>
          <w14:textFill>
            <w14:solidFill>
              <w14:schemeClr w14:val="tx1"/>
            </w14:solidFill>
          </w14:textFill>
        </w:rPr>
        <w:t>单位收入锐减，节俭开支，未发生接待费用。</w:t>
      </w:r>
    </w:p>
    <w:p>
      <w:pPr>
        <w:numPr>
          <w:ilvl w:val="0"/>
          <w:numId w:val="0"/>
        </w:numPr>
        <w:spacing w:line="600" w:lineRule="exact"/>
        <w:ind w:firstLine="640" w:firstLineChars="200"/>
        <w:rPr>
          <w:rFonts w:ascii="仿宋" w:hAnsi="仿宋" w:eastAsia="仿宋"/>
          <w:strike w:val="0"/>
          <w:dstrike w:val="0"/>
          <w:color w:val="000000" w:themeColor="text1"/>
          <w:sz w:val="32"/>
          <w:szCs w:val="32"/>
          <w14:textFill>
            <w14:solidFill>
              <w14:schemeClr w14:val="tx1"/>
            </w14:solidFill>
          </w14:textFill>
        </w:rPr>
      </w:pPr>
      <w:r>
        <w:rPr>
          <w:rFonts w:ascii="仿宋" w:hAnsi="仿宋" w:eastAsia="仿宋"/>
          <w:strike w:val="0"/>
          <w:dstrike w:val="0"/>
          <w:color w:val="000000" w:themeColor="text1"/>
          <w:sz w:val="32"/>
          <w:szCs w:val="32"/>
          <w14:textFill>
            <w14:solidFill>
              <w14:schemeClr w14:val="tx1"/>
            </w14:solidFill>
          </w14:textFill>
        </w:rPr>
        <w:t>4</w:t>
      </w:r>
      <w:r>
        <w:rPr>
          <w:rFonts w:hint="eastAsia" w:ascii="仿宋" w:hAnsi="仿宋" w:eastAsia="仿宋"/>
          <w:strike w:val="0"/>
          <w:dstrike w:val="0"/>
          <w:color w:val="000000" w:themeColor="text1"/>
          <w:sz w:val="32"/>
          <w:szCs w:val="32"/>
          <w14:textFill>
            <w14:solidFill>
              <w14:schemeClr w14:val="tx1"/>
            </w14:solidFill>
          </w14:textFill>
        </w:rPr>
        <w:t>、国内公务接待</w:t>
      </w:r>
      <w:r>
        <w:rPr>
          <w:rFonts w:hint="eastAsia" w:ascii="仿宋" w:hAnsi="仿宋" w:eastAsia="仿宋"/>
          <w:strike w:val="0"/>
          <w:dstrike w:val="0"/>
          <w:color w:val="000000" w:themeColor="text1"/>
          <w:sz w:val="32"/>
          <w:szCs w:val="32"/>
          <w:lang w:val="en-US" w:eastAsia="zh-CN"/>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批次，</w:t>
      </w:r>
      <w:r>
        <w:rPr>
          <w:rFonts w:hint="eastAsia" w:ascii="仿宋" w:hAnsi="仿宋" w:eastAsia="仿宋"/>
          <w:strike w:val="0"/>
          <w:dstrike w:val="0"/>
          <w:color w:val="000000" w:themeColor="text1"/>
          <w:sz w:val="32"/>
          <w:szCs w:val="32"/>
          <w:lang w:val="en-US" w:eastAsia="zh-CN"/>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人次，共计支出</w:t>
      </w:r>
      <w:r>
        <w:rPr>
          <w:rFonts w:hint="eastAsia" w:ascii="仿宋" w:hAnsi="仿宋" w:eastAsia="仿宋"/>
          <w:strike w:val="0"/>
          <w:dstrike w:val="0"/>
          <w:color w:val="000000" w:themeColor="text1"/>
          <w:sz w:val="32"/>
          <w:szCs w:val="32"/>
          <w:lang w:val="en-US" w:eastAsia="zh-CN"/>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万元。</w:t>
      </w:r>
    </w:p>
    <w:p>
      <w:pPr>
        <w:spacing w:line="600" w:lineRule="exact"/>
        <w:ind w:firstLine="640" w:firstLineChars="200"/>
        <w:rPr>
          <w:strike w:val="0"/>
          <w:dstrike w:val="0"/>
          <w:color w:val="000000" w:themeColor="text1"/>
          <w14:textFill>
            <w14:solidFill>
              <w14:schemeClr w14:val="tx1"/>
            </w14:solidFill>
          </w14:textFill>
        </w:rPr>
      </w:pPr>
      <w:r>
        <w:rPr>
          <w:rFonts w:hint="eastAsia" w:ascii="仿宋" w:hAnsi="仿宋" w:eastAsia="仿宋"/>
          <w:strike w:val="0"/>
          <w:dstrike w:val="0"/>
          <w:color w:val="000000" w:themeColor="text1"/>
          <w:sz w:val="32"/>
          <w:szCs w:val="32"/>
          <w14:textFill>
            <w14:solidFill>
              <w14:schemeClr w14:val="tx1"/>
            </w14:solidFill>
          </w14:textFill>
        </w:rPr>
        <w:t>外事接待支出</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万元，外事接待</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批次，</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人，共计支出</w:t>
      </w:r>
      <w:r>
        <w:rPr>
          <w:rFonts w:ascii="仿宋" w:hAnsi="仿宋" w:eastAsia="仿宋"/>
          <w:strike w:val="0"/>
          <w:dstrike w:val="0"/>
          <w:color w:val="000000" w:themeColor="text1"/>
          <w:sz w:val="32"/>
          <w:szCs w:val="32"/>
          <w14:textFill>
            <w14:solidFill>
              <w14:schemeClr w14:val="tx1"/>
            </w14:solidFill>
          </w14:textFill>
        </w:rPr>
        <w:t>0</w:t>
      </w:r>
      <w:r>
        <w:rPr>
          <w:rFonts w:hint="eastAsia" w:ascii="仿宋" w:hAnsi="仿宋" w:eastAsia="仿宋"/>
          <w:strike w:val="0"/>
          <w:dstrike w:val="0"/>
          <w:color w:val="000000" w:themeColor="text1"/>
          <w:sz w:val="32"/>
          <w:szCs w:val="32"/>
          <w14:textFill>
            <w14:solidFill>
              <w14:schemeClr w14:val="tx1"/>
            </w14:solidFill>
          </w14:textFill>
        </w:rPr>
        <w:t>万元。</w:t>
      </w:r>
    </w:p>
    <w:p>
      <w:pPr>
        <w:spacing w:line="600" w:lineRule="exact"/>
        <w:ind w:firstLine="640"/>
        <w:outlineLvl w:val="1"/>
        <w:rPr>
          <w:rStyle w:val="17"/>
          <w:rFonts w:ascii="黑体" w:hAnsi="黑体" w:eastAsia="黑体"/>
          <w:color w:val="auto"/>
          <w:highlight w:val="none"/>
        </w:rPr>
      </w:pPr>
      <w:bookmarkStart w:id="64" w:name="_Toc16650"/>
      <w:r>
        <w:rPr>
          <w:rFonts w:hint="eastAsia" w:ascii="黑体" w:eastAsia="黑体"/>
          <w:color w:val="auto"/>
          <w:sz w:val="32"/>
          <w:szCs w:val="32"/>
          <w:highlight w:val="none"/>
        </w:rPr>
        <w:t>八、</w:t>
      </w:r>
      <w:r>
        <w:rPr>
          <w:rStyle w:val="17"/>
          <w:rFonts w:hint="eastAsia" w:ascii="黑体" w:hAnsi="黑体" w:eastAsia="黑体"/>
          <w:b w:val="0"/>
          <w:color w:val="auto"/>
          <w:highlight w:val="none"/>
        </w:rPr>
        <w:t>政府性基金预算支出决算情况说明</w:t>
      </w:r>
      <w:bookmarkEnd w:id="60"/>
      <w:bookmarkEnd w:id="61"/>
      <w:bookmarkEnd w:id="64"/>
    </w:p>
    <w:p>
      <w:pPr>
        <w:spacing w:line="600" w:lineRule="exact"/>
        <w:ind w:firstLine="640" w:firstLineChars="200"/>
        <w:rPr>
          <w:rFonts w:ascii="仿宋_GB2312" w:eastAsia="仿宋_GB2312"/>
          <w:color w:val="auto"/>
          <w:sz w:val="32"/>
          <w:szCs w:val="32"/>
          <w:highlight w:val="none"/>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年政府性基金预算财政拨款支出</w:t>
      </w:r>
      <w:r>
        <w:rPr>
          <w:rFonts w:ascii="仿宋" w:hAnsi="仿宋" w:eastAsia="仿宋"/>
          <w:color w:val="000000"/>
          <w:sz w:val="32"/>
          <w:szCs w:val="32"/>
        </w:rPr>
        <w:t>0</w:t>
      </w:r>
      <w:r>
        <w:rPr>
          <w:rFonts w:hint="eastAsia" w:ascii="仿宋" w:hAnsi="仿宋" w:eastAsia="仿宋"/>
          <w:color w:val="000000"/>
          <w:sz w:val="32"/>
          <w:szCs w:val="32"/>
        </w:rPr>
        <w:t>万元。</w:t>
      </w:r>
    </w:p>
    <w:p>
      <w:pPr>
        <w:numPr>
          <w:ilvl w:val="0"/>
          <w:numId w:val="4"/>
        </w:numPr>
        <w:spacing w:line="600" w:lineRule="exact"/>
        <w:ind w:firstLine="640"/>
        <w:outlineLvl w:val="1"/>
        <w:rPr>
          <w:rStyle w:val="17"/>
          <w:rFonts w:ascii="黑体" w:hAnsi="黑体" w:eastAsia="黑体"/>
          <w:b w:val="0"/>
          <w:color w:val="auto"/>
          <w:highlight w:val="none"/>
        </w:rPr>
      </w:pPr>
      <w:bookmarkStart w:id="65" w:name="_Toc15396611"/>
      <w:bookmarkStart w:id="66" w:name="_Toc32541"/>
      <w:bookmarkStart w:id="67" w:name="_Toc15377219"/>
      <w:r>
        <w:rPr>
          <w:rStyle w:val="17"/>
          <w:rFonts w:hint="eastAsia" w:ascii="黑体" w:hAnsi="黑体" w:eastAsia="黑体"/>
          <w:b w:val="0"/>
          <w:color w:val="auto"/>
          <w:highlight w:val="none"/>
        </w:rPr>
        <w:t>国有资本经营预算支出决算情况说明</w:t>
      </w:r>
      <w:bookmarkEnd w:id="65"/>
      <w:bookmarkEnd w:id="66"/>
      <w:bookmarkEnd w:id="67"/>
    </w:p>
    <w:p>
      <w:pPr>
        <w:spacing w:line="600" w:lineRule="exact"/>
        <w:ind w:firstLine="640" w:firstLineChars="200"/>
        <w:rPr>
          <w:rFonts w:ascii="方正小标宋简体" w:hAnsi="方正小标宋简体" w:eastAsia="方正小标宋简体" w:cs="方正小标宋简体"/>
          <w:color w:val="auto"/>
          <w:sz w:val="44"/>
          <w:szCs w:val="44"/>
          <w:highlight w:val="none"/>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年国有资本经营预算财政拨款支出</w:t>
      </w:r>
      <w:r>
        <w:rPr>
          <w:rFonts w:ascii="仿宋" w:hAnsi="仿宋" w:eastAsia="仿宋"/>
          <w:color w:val="000000"/>
          <w:sz w:val="32"/>
          <w:szCs w:val="32"/>
        </w:rPr>
        <w:t>0</w:t>
      </w:r>
      <w:r>
        <w:rPr>
          <w:rFonts w:hint="eastAsia" w:ascii="仿宋" w:hAnsi="仿宋" w:eastAsia="仿宋"/>
          <w:color w:val="000000"/>
          <w:sz w:val="32"/>
          <w:szCs w:val="32"/>
        </w:rPr>
        <w:t>万元。</w:t>
      </w:r>
    </w:p>
    <w:p>
      <w:pPr>
        <w:numPr>
          <w:ilvl w:val="0"/>
          <w:numId w:val="4"/>
        </w:numPr>
        <w:spacing w:line="600" w:lineRule="exact"/>
        <w:ind w:firstLine="640"/>
        <w:outlineLvl w:val="1"/>
        <w:rPr>
          <w:rStyle w:val="17"/>
          <w:rFonts w:hint="eastAsia" w:ascii="黑体" w:hAnsi="黑体" w:eastAsia="黑体"/>
          <w:b w:val="0"/>
          <w:color w:val="auto"/>
          <w:highlight w:val="none"/>
        </w:rPr>
      </w:pPr>
      <w:bookmarkStart w:id="68" w:name="_Toc1010"/>
      <w:bookmarkStart w:id="69" w:name="_Toc15396612"/>
      <w:bookmarkStart w:id="70" w:name="_Toc15377221"/>
      <w:r>
        <w:rPr>
          <w:rStyle w:val="17"/>
          <w:rFonts w:hint="eastAsia" w:ascii="黑体" w:hAnsi="黑体" w:eastAsia="黑体"/>
          <w:b w:val="0"/>
          <w:color w:val="auto"/>
          <w:highlight w:val="none"/>
        </w:rPr>
        <w:t>其他重要事项的情况说明</w:t>
      </w:r>
      <w:bookmarkEnd w:id="68"/>
      <w:bookmarkEnd w:id="69"/>
      <w:bookmarkEnd w:id="70"/>
    </w:p>
    <w:p>
      <w:pPr>
        <w:spacing w:line="60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（一）机关运行经费支出情况</w:t>
      </w:r>
    </w:p>
    <w:p>
      <w:pPr>
        <w:spacing w:line="600" w:lineRule="exact"/>
        <w:ind w:firstLine="640" w:firstLineChars="200"/>
        <w:rPr>
          <w:rFonts w:hint="eastAsia" w:ascii="仿宋" w:hAnsi="仿宋" w:eastAsia="仿宋" w:cs="Times New Roman"/>
          <w:color w:val="000000"/>
          <w:kern w:val="2"/>
          <w:sz w:val="32"/>
          <w:szCs w:val="32"/>
          <w:lang w:val="en-US" w:eastAsia="zh-CN" w:bidi="ar-SA"/>
        </w:rPr>
      </w:pPr>
      <w:bookmarkStart w:id="71" w:name="_Toc15377223"/>
      <w:r>
        <w:rPr>
          <w:rFonts w:hint="eastAsia" w:ascii="仿宋" w:hAnsi="仿宋" w:eastAsia="仿宋" w:cs="Times New Roman"/>
          <w:color w:val="000000"/>
          <w:kern w:val="2"/>
          <w:sz w:val="32"/>
          <w:szCs w:val="32"/>
          <w:lang w:val="en-US" w:eastAsia="zh-CN" w:bidi="ar-SA"/>
        </w:rPr>
        <w:t>本单位为公益一类事业单位，无机关运行经费支出</w:t>
      </w:r>
      <w:r>
        <w:rPr>
          <w:rFonts w:hint="default" w:ascii="仿宋" w:hAnsi="仿宋" w:eastAsia="仿宋" w:cs="Times New Roman"/>
          <w:color w:val="000000"/>
          <w:kern w:val="2"/>
          <w:sz w:val="32"/>
          <w:szCs w:val="32"/>
          <w:lang w:eastAsia="zh-CN" w:bidi="ar-SA"/>
        </w:rPr>
        <w:t>，较2021年无变化</w:t>
      </w:r>
      <w:r>
        <w:rPr>
          <w:rFonts w:hint="eastAsia" w:ascii="仿宋" w:hAnsi="仿宋" w:eastAsia="仿宋" w:cs="Times New Roman"/>
          <w:color w:val="000000"/>
          <w:kern w:val="2"/>
          <w:sz w:val="32"/>
          <w:szCs w:val="32"/>
          <w:lang w:val="en-US" w:eastAsia="zh-CN" w:bidi="ar-SA"/>
        </w:rPr>
        <w:t>。</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sz w:val="32"/>
          <w:szCs w:val="32"/>
        </w:rPr>
        <w:t>（</w:t>
      </w:r>
      <w:r>
        <w:rPr>
          <w:rFonts w:hint="eastAsia" w:ascii="仿宋" w:hAnsi="仿宋" w:eastAsia="仿宋"/>
          <w:b/>
          <w:sz w:val="32"/>
          <w:szCs w:val="32"/>
          <w:lang w:eastAsia="zh-CN"/>
        </w:rPr>
        <w:t>二</w:t>
      </w:r>
      <w:r>
        <w:rPr>
          <w:rFonts w:hint="eastAsia" w:ascii="仿宋" w:hAnsi="仿宋" w:eastAsia="仿宋"/>
          <w:b/>
          <w:sz w:val="32"/>
          <w:szCs w:val="32"/>
        </w:rPr>
        <w:t>）政府采购支出情况</w:t>
      </w:r>
      <w:bookmarkEnd w:id="7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年，皇泽寺博物馆政府采购支出总额</w:t>
      </w:r>
      <w:r>
        <w:rPr>
          <w:rFonts w:hint="eastAsia" w:ascii="仿宋" w:hAnsi="仿宋" w:eastAsia="仿宋"/>
          <w:color w:val="000000"/>
          <w:sz w:val="32"/>
          <w:szCs w:val="32"/>
          <w:lang w:val="en-US" w:eastAsia="zh-CN"/>
        </w:rPr>
        <w:t>136</w:t>
      </w:r>
      <w:r>
        <w:rPr>
          <w:rFonts w:hint="eastAsia" w:ascii="仿宋" w:hAnsi="仿宋" w:eastAsia="仿宋"/>
          <w:color w:val="000000"/>
          <w:sz w:val="32"/>
          <w:szCs w:val="32"/>
        </w:rPr>
        <w:t>万元，其中：政府采购货物支出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万元、政府采购工程支出</w:t>
      </w:r>
      <w:r>
        <w:rPr>
          <w:rFonts w:ascii="仿宋" w:hAnsi="仿宋" w:eastAsia="仿宋"/>
          <w:color w:val="000000"/>
          <w:sz w:val="32"/>
          <w:szCs w:val="32"/>
        </w:rPr>
        <w:t>0</w:t>
      </w:r>
      <w:r>
        <w:rPr>
          <w:rFonts w:hint="eastAsia" w:ascii="仿宋" w:hAnsi="仿宋" w:eastAsia="仿宋"/>
          <w:color w:val="000000"/>
          <w:sz w:val="32"/>
          <w:szCs w:val="32"/>
        </w:rPr>
        <w:t>万元、政府采购服务支出</w:t>
      </w:r>
      <w:r>
        <w:rPr>
          <w:rFonts w:hint="eastAsia" w:ascii="仿宋" w:hAnsi="仿宋" w:eastAsia="仿宋"/>
          <w:color w:val="000000"/>
          <w:sz w:val="32"/>
          <w:szCs w:val="32"/>
          <w:lang w:val="en-US" w:eastAsia="zh-CN"/>
        </w:rPr>
        <w:t>136</w:t>
      </w:r>
      <w:r>
        <w:rPr>
          <w:rFonts w:hint="eastAsia" w:ascii="仿宋" w:hAnsi="仿宋" w:eastAsia="仿宋"/>
          <w:color w:val="000000"/>
          <w:sz w:val="32"/>
          <w:szCs w:val="32"/>
        </w:rPr>
        <w:t>万元。主要用于皇泽寺景区卫生保洁工作。授予中小企业合同金额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，其中：授予小微企业合同金额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72" w:name="_Toc16055"/>
      <w:bookmarkStart w:id="73" w:name="_Toc15377224"/>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三</w:t>
      </w:r>
      <w:r>
        <w:rPr>
          <w:rFonts w:hint="eastAsia" w:ascii="仿宋" w:hAnsi="仿宋" w:eastAsia="仿宋"/>
          <w:b/>
          <w:bCs/>
          <w:color w:val="000000"/>
          <w:sz w:val="32"/>
          <w:szCs w:val="32"/>
        </w:rPr>
        <w:t>）国有资产占有使用情况</w:t>
      </w:r>
      <w:bookmarkEnd w:id="72"/>
      <w:bookmarkEnd w:id="73"/>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2021</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日，皇泽寺博物馆共有车辆</w:t>
      </w:r>
      <w:r>
        <w:rPr>
          <w:rFonts w:ascii="仿宋" w:hAnsi="仿宋" w:eastAsia="仿宋"/>
          <w:color w:val="000000"/>
          <w:sz w:val="32"/>
          <w:szCs w:val="32"/>
        </w:rPr>
        <w:t>1</w:t>
      </w:r>
      <w:r>
        <w:rPr>
          <w:rFonts w:hint="eastAsia" w:ascii="仿宋" w:hAnsi="仿宋" w:eastAsia="仿宋"/>
          <w:color w:val="000000"/>
          <w:sz w:val="32"/>
          <w:szCs w:val="32"/>
        </w:rPr>
        <w:t>辆，其中：其他用车</w:t>
      </w:r>
      <w:r>
        <w:rPr>
          <w:rFonts w:ascii="仿宋" w:hAnsi="仿宋" w:eastAsia="仿宋"/>
          <w:color w:val="000000"/>
          <w:sz w:val="32"/>
          <w:szCs w:val="32"/>
        </w:rPr>
        <w:t>1</w:t>
      </w:r>
      <w:r>
        <w:rPr>
          <w:rFonts w:hint="eastAsia" w:ascii="仿宋" w:hAnsi="仿宋" w:eastAsia="仿宋"/>
          <w:color w:val="000000"/>
          <w:sz w:val="32"/>
          <w:szCs w:val="32"/>
        </w:rPr>
        <w:t>辆，其他用车主要是用于文物业务用车。单价</w:t>
      </w:r>
      <w:r>
        <w:rPr>
          <w:rFonts w:ascii="仿宋" w:hAnsi="仿宋" w:eastAsia="仿宋"/>
          <w:color w:val="000000"/>
          <w:sz w:val="32"/>
          <w:szCs w:val="32"/>
        </w:rPr>
        <w:t>50</w:t>
      </w:r>
      <w:r>
        <w:rPr>
          <w:rFonts w:hint="eastAsia" w:ascii="仿宋" w:hAnsi="仿宋" w:eastAsia="仿宋"/>
          <w:color w:val="000000"/>
          <w:sz w:val="32"/>
          <w:szCs w:val="32"/>
        </w:rPr>
        <w:t>万元以上通用设备</w:t>
      </w:r>
      <w:r>
        <w:rPr>
          <w:rFonts w:hint="eastAsia" w:ascii="仿宋" w:hAnsi="仿宋" w:eastAsia="仿宋"/>
          <w:color w:val="000000"/>
          <w:sz w:val="32"/>
          <w:szCs w:val="32"/>
          <w:lang w:eastAsia="zh-CN"/>
        </w:rPr>
        <w:t>，</w:t>
      </w:r>
      <w:r>
        <w:rPr>
          <w:rFonts w:ascii="仿宋" w:hAnsi="仿宋" w:eastAsia="仿宋"/>
          <w:color w:val="000000"/>
          <w:sz w:val="32"/>
          <w:szCs w:val="32"/>
        </w:rPr>
        <w:t>0</w:t>
      </w:r>
      <w:r>
        <w:rPr>
          <w:rFonts w:hint="eastAsia" w:ascii="仿宋" w:hAnsi="仿宋" w:eastAsia="仿宋"/>
          <w:color w:val="000000"/>
          <w:sz w:val="32"/>
          <w:szCs w:val="32"/>
        </w:rPr>
        <w:t>台（套），单价</w:t>
      </w:r>
      <w:r>
        <w:rPr>
          <w:rFonts w:ascii="仿宋" w:hAnsi="仿宋" w:eastAsia="仿宋"/>
          <w:color w:val="000000"/>
          <w:sz w:val="32"/>
          <w:szCs w:val="32"/>
        </w:rPr>
        <w:t>100</w:t>
      </w:r>
      <w:r>
        <w:rPr>
          <w:rFonts w:hint="eastAsia" w:ascii="仿宋" w:hAnsi="仿宋" w:eastAsia="仿宋"/>
          <w:color w:val="000000"/>
          <w:sz w:val="32"/>
          <w:szCs w:val="32"/>
        </w:rPr>
        <w:t>万元以上专用设备</w:t>
      </w:r>
      <w:r>
        <w:rPr>
          <w:rFonts w:ascii="仿宋" w:hAnsi="仿宋" w:eastAsia="仿宋"/>
          <w:color w:val="000000"/>
          <w:sz w:val="32"/>
          <w:szCs w:val="32"/>
        </w:rPr>
        <w:t>0</w:t>
      </w:r>
      <w:r>
        <w:rPr>
          <w:rFonts w:hint="eastAsia" w:ascii="仿宋" w:hAnsi="仿宋" w:eastAsia="仿宋"/>
          <w:color w:val="000000"/>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bCs/>
          <w:color w:val="000000"/>
          <w:sz w:val="32"/>
          <w:szCs w:val="32"/>
          <w:lang w:eastAsia="zh-CN"/>
        </w:rPr>
      </w:pPr>
      <w:bookmarkStart w:id="74" w:name="_Toc24397"/>
      <w:r>
        <w:rPr>
          <w:rFonts w:hint="eastAsia" w:ascii="仿宋" w:hAnsi="仿宋" w:eastAsia="仿宋"/>
          <w:b/>
          <w:bCs/>
          <w:color w:val="000000"/>
          <w:sz w:val="32"/>
          <w:szCs w:val="32"/>
        </w:rPr>
        <w:t>（四）预算绩效管理情况</w:t>
      </w:r>
      <w:bookmarkEnd w:id="74"/>
    </w:p>
    <w:p>
      <w:pPr>
        <w:autoSpaceDE w:val="0"/>
        <w:autoSpaceDN w:val="0"/>
        <w:adjustRightInd w:val="0"/>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根据预算绩效管理要求，本部门在202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年度预算编制阶段，组织对</w:t>
      </w:r>
      <w:r>
        <w:rPr>
          <w:rFonts w:hint="eastAsia" w:ascii="仿宋" w:hAnsi="仿宋" w:eastAsia="仿宋"/>
          <w:color w:val="000000"/>
          <w:sz w:val="32"/>
          <w:szCs w:val="32"/>
          <w:lang w:val="en-US" w:eastAsia="zh-CN"/>
        </w:rPr>
        <w:t>其他公用经费（福利、工会、公车补贴、党建、退休活动）、定额公用经费（事业）</w:t>
      </w:r>
      <w:r>
        <w:rPr>
          <w:rFonts w:hint="eastAsia" w:ascii="仿宋" w:hAnsi="仿宋" w:eastAsia="仿宋"/>
          <w:color w:val="000000"/>
          <w:sz w:val="32"/>
          <w:szCs w:val="32"/>
          <w:lang w:eastAsia="zh-CN"/>
        </w:rPr>
        <w:t>皇泽寺博物馆</w:t>
      </w:r>
      <w:r>
        <w:rPr>
          <w:rFonts w:hint="eastAsia" w:ascii="仿宋" w:hAnsi="仿宋" w:eastAsia="仿宋"/>
          <w:color w:val="000000"/>
          <w:sz w:val="32"/>
          <w:szCs w:val="32"/>
        </w:rPr>
        <w:t>安防经费、文物保护费、红军文化园运转经费、绿化及卫生费、宣传费、</w:t>
      </w:r>
      <w:r>
        <w:rPr>
          <w:rFonts w:hint="eastAsia" w:ascii="仿宋" w:hAnsi="仿宋" w:eastAsia="仿宋"/>
          <w:color w:val="000000"/>
          <w:sz w:val="32"/>
          <w:szCs w:val="32"/>
          <w:lang w:eastAsia="zh-CN"/>
        </w:rPr>
        <w:t>皇泽寺博物馆乡村振兴</w:t>
      </w:r>
      <w:r>
        <w:rPr>
          <w:rFonts w:hint="eastAsia" w:ascii="仿宋" w:hAnsi="仿宋" w:eastAsia="仿宋"/>
          <w:color w:val="000000"/>
          <w:sz w:val="32"/>
          <w:szCs w:val="32"/>
        </w:rPr>
        <w:t>工作经费</w:t>
      </w:r>
      <w:r>
        <w:rPr>
          <w:rFonts w:hint="eastAsia" w:ascii="仿宋" w:hAnsi="仿宋" w:eastAsia="仿宋"/>
          <w:color w:val="000000"/>
          <w:sz w:val="32"/>
          <w:szCs w:val="32"/>
          <w:lang w:eastAsia="zh-CN"/>
        </w:rPr>
        <w:t>、信息化建设费用</w:t>
      </w:r>
      <w:r>
        <w:rPr>
          <w:rFonts w:hint="eastAsia" w:ascii="仿宋" w:hAnsi="仿宋" w:eastAsia="仿宋"/>
          <w:color w:val="000000"/>
          <w:sz w:val="32"/>
          <w:szCs w:val="32"/>
        </w:rPr>
        <w:t>（项目名称）等</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个项目开展了预算事前绩效评估，对</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个项目编制了绩效目标，预算执行过程中，选取</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个项目开展绩效监控，年终执行完毕后，对</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个项目开展了绩效自评。</w:t>
      </w:r>
      <w:r>
        <w:rPr>
          <w:rFonts w:hint="default" w:ascii="仿宋" w:hAnsi="仿宋" w:eastAsia="仿宋"/>
          <w:color w:val="000000"/>
          <w:sz w:val="32"/>
          <w:szCs w:val="32"/>
        </w:rPr>
        <w:t>部门预算项目绩效自评表</w:t>
      </w:r>
      <w:r>
        <w:rPr>
          <w:rFonts w:hint="eastAsia" w:ascii="仿宋" w:hAnsi="仿宋" w:eastAsia="仿宋"/>
          <w:color w:val="000000"/>
          <w:sz w:val="32"/>
          <w:szCs w:val="32"/>
        </w:rPr>
        <w:t>见附件（第四部分）。</w:t>
      </w:r>
    </w:p>
    <w:p>
      <w:pPr>
        <w:autoSpaceDE w:val="0"/>
        <w:autoSpaceDN w:val="0"/>
        <w:adjustRightInd w:val="0"/>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br w:type="page"/>
      </w:r>
    </w:p>
    <w:p>
      <w:pPr>
        <w:numPr>
          <w:ilvl w:val="0"/>
          <w:numId w:val="5"/>
        </w:numPr>
        <w:spacing w:line="600" w:lineRule="exact"/>
        <w:ind w:firstLine="660" w:firstLineChars="150"/>
        <w:jc w:val="center"/>
        <w:outlineLvl w:val="0"/>
        <w:rPr>
          <w:rStyle w:val="16"/>
          <w:rFonts w:ascii="黑体" w:hAnsi="黑体" w:eastAsia="黑体"/>
          <w:b w:val="0"/>
          <w:color w:val="auto"/>
          <w:highlight w:val="none"/>
        </w:rPr>
      </w:pPr>
      <w:bookmarkStart w:id="75" w:name="_Toc17609"/>
      <w:bookmarkStart w:id="76" w:name="_Toc15377225"/>
      <w:bookmarkStart w:id="77" w:name="_Toc15396613"/>
      <w:r>
        <w:rPr>
          <w:rFonts w:hint="eastAsia" w:ascii="黑体" w:hAnsi="黑体" w:eastAsia="黑体"/>
          <w:color w:val="auto"/>
          <w:sz w:val="44"/>
          <w:szCs w:val="44"/>
          <w:highlight w:val="none"/>
        </w:rPr>
        <w:t>名</w:t>
      </w:r>
      <w:r>
        <w:rPr>
          <w:rStyle w:val="16"/>
          <w:rFonts w:hint="eastAsia" w:ascii="黑体" w:hAnsi="黑体" w:eastAsia="黑体"/>
          <w:b w:val="0"/>
          <w:color w:val="auto"/>
          <w:highlight w:val="none"/>
        </w:rPr>
        <w:t>词解释</w:t>
      </w:r>
      <w:bookmarkEnd w:id="75"/>
      <w:bookmarkEnd w:id="76"/>
      <w:bookmarkEnd w:id="77"/>
    </w:p>
    <w:p>
      <w:pPr>
        <w:spacing w:line="600" w:lineRule="exact"/>
        <w:jc w:val="left"/>
        <w:rPr>
          <w:rFonts w:ascii="宋体"/>
          <w:b/>
          <w:color w:val="000000"/>
          <w:sz w:val="44"/>
          <w:szCs w:val="44"/>
        </w:rPr>
      </w:pPr>
    </w:p>
    <w:p>
      <w:pPr>
        <w:pStyle w:val="25"/>
        <w:numPr>
          <w:ilvl w:val="0"/>
          <w:numId w:val="6"/>
        </w:numPr>
        <w:spacing w:line="560" w:lineRule="exact"/>
        <w:ind w:left="0" w:leftChars="0" w:firstLine="400" w:firstLineChars="0"/>
        <w:rPr>
          <w:rFonts w:hAnsi="仿宋"/>
          <w:color w:val="auto"/>
          <w:sz w:val="32"/>
          <w:szCs w:val="32"/>
        </w:rPr>
      </w:pPr>
      <w:r>
        <w:rPr>
          <w:rFonts w:hint="eastAsia" w:hAnsi="仿宋"/>
          <w:color w:val="auto"/>
          <w:sz w:val="32"/>
          <w:szCs w:val="32"/>
        </w:rPr>
        <w:t>财政拨款收入：指单位从同级财政部门取得的财政预算资金。</w:t>
      </w:r>
    </w:p>
    <w:p>
      <w:pPr>
        <w:pStyle w:val="25"/>
        <w:numPr>
          <w:ilvl w:val="0"/>
          <w:numId w:val="6"/>
        </w:numPr>
        <w:spacing w:line="560" w:lineRule="exact"/>
        <w:ind w:left="0" w:leftChars="0" w:firstLine="400" w:firstLineChars="0"/>
        <w:rPr>
          <w:rFonts w:hAnsi="仿宋"/>
          <w:color w:val="auto"/>
          <w:sz w:val="32"/>
          <w:szCs w:val="32"/>
        </w:rPr>
      </w:pPr>
      <w:r>
        <w:rPr>
          <w:rFonts w:hint="eastAsia" w:hAnsi="仿宋"/>
          <w:color w:val="auto"/>
          <w:sz w:val="32"/>
          <w:szCs w:val="32"/>
        </w:rPr>
        <w:t>其他收入：指单位取得的除上述收入以外的各项</w:t>
      </w:r>
      <w:r>
        <w:rPr>
          <w:rFonts w:hint="eastAsia" w:hAnsi="仿宋"/>
          <w:color w:val="auto"/>
          <w:sz w:val="32"/>
          <w:szCs w:val="32"/>
          <w:lang w:eastAsia="zh-CN"/>
        </w:rPr>
        <w:t>收入</w:t>
      </w:r>
      <w:r>
        <w:rPr>
          <w:rFonts w:hint="eastAsia" w:hAnsi="仿宋"/>
          <w:color w:val="auto"/>
          <w:sz w:val="32"/>
          <w:szCs w:val="32"/>
        </w:rPr>
        <w:t>。</w:t>
      </w:r>
    </w:p>
    <w:p>
      <w:pPr>
        <w:pStyle w:val="25"/>
        <w:numPr>
          <w:ilvl w:val="0"/>
          <w:numId w:val="6"/>
        </w:numPr>
        <w:spacing w:line="560" w:lineRule="exact"/>
        <w:ind w:left="0" w:leftChars="0" w:firstLine="400" w:firstLineChars="0"/>
        <w:rPr>
          <w:rFonts w:hAnsi="仿宋"/>
          <w:color w:val="auto"/>
          <w:sz w:val="32"/>
          <w:szCs w:val="32"/>
        </w:rPr>
      </w:pPr>
      <w:r>
        <w:rPr>
          <w:rFonts w:hint="eastAsia" w:hAnsi="仿宋"/>
          <w:color w:val="auto"/>
          <w:sz w:val="32"/>
          <w:szCs w:val="32"/>
        </w:rPr>
        <w:t>年初结转和结余：指以前年度尚未完成、结转到本年按有关规定继续使用的资金。</w:t>
      </w:r>
    </w:p>
    <w:p>
      <w:pPr>
        <w:pStyle w:val="25"/>
        <w:numPr>
          <w:ilvl w:val="0"/>
          <w:numId w:val="6"/>
        </w:numPr>
        <w:spacing w:line="560" w:lineRule="exact"/>
        <w:ind w:left="0" w:leftChars="0" w:firstLine="400" w:firstLineChars="0"/>
        <w:rPr>
          <w:rFonts w:hAnsi="仿宋"/>
          <w:color w:val="auto"/>
          <w:sz w:val="32"/>
          <w:szCs w:val="32"/>
        </w:rPr>
      </w:pPr>
      <w:r>
        <w:rPr>
          <w:rFonts w:hint="eastAsia" w:hAnsi="仿宋"/>
          <w:color w:val="auto"/>
          <w:sz w:val="32"/>
          <w:szCs w:val="32"/>
        </w:rPr>
        <w:t>年末结转和结余：指单位按有关规定结转到下年或以后年度继续使用的资金。</w:t>
      </w:r>
    </w:p>
    <w:p>
      <w:pPr>
        <w:numPr>
          <w:ilvl w:val="0"/>
          <w:numId w:val="6"/>
        </w:numPr>
        <w:ind w:left="0" w:leftChars="0" w:firstLine="400" w:firstLineChars="0"/>
        <w:rPr>
          <w:rFonts w:ascii="仿宋" w:hAnsi="仿宋" w:eastAsia="仿宋" w:cs="仿宋"/>
          <w:kern w:val="0"/>
          <w:sz w:val="32"/>
          <w:szCs w:val="32"/>
        </w:rPr>
      </w:pPr>
      <w:r>
        <w:rPr>
          <w:rFonts w:hint="eastAsia" w:ascii="仿宋" w:hAnsi="仿宋" w:eastAsia="仿宋" w:cs="仿宋"/>
          <w:kern w:val="0"/>
          <w:sz w:val="32"/>
          <w:szCs w:val="32"/>
        </w:rPr>
        <w:t>文化体育与传媒（类）文化和旅游（款）其他文化和旅游支出（项）：反映除上述项目以外其他用于文化和旅游方面的支出。</w:t>
      </w:r>
    </w:p>
    <w:p>
      <w:pPr>
        <w:pStyle w:val="2"/>
        <w:numPr>
          <w:ilvl w:val="0"/>
          <w:numId w:val="6"/>
        </w:numPr>
        <w:spacing w:before="93"/>
        <w:ind w:left="0" w:leftChars="0" w:firstLine="400" w:firstLineChars="0"/>
        <w:rPr>
          <w:color w:val="000000"/>
          <w:sz w:val="32"/>
          <w:szCs w:val="32"/>
        </w:rPr>
      </w:pPr>
      <w:r>
        <w:rPr>
          <w:rFonts w:hint="eastAsia" w:ascii="仿宋" w:hAnsi="仿宋" w:eastAsia="仿宋" w:cs="仿宋"/>
          <w:sz w:val="32"/>
          <w:szCs w:val="32"/>
        </w:rPr>
        <w:t>文化旅游体育与传媒支出（类）文物（款）博物馆（项）支出：反映文物系统及其他部门所属博物馆、纪念馆（室）的支出。</w:t>
      </w:r>
    </w:p>
    <w:p>
      <w:pPr>
        <w:pStyle w:val="2"/>
        <w:numPr>
          <w:ilvl w:val="0"/>
          <w:numId w:val="6"/>
        </w:numPr>
        <w:spacing w:before="93"/>
        <w:ind w:left="0" w:leftChars="0" w:firstLine="400" w:firstLineChars="0"/>
        <w:rPr>
          <w:rFonts w:ascii="仿宋" w:hAnsi="仿宋" w:eastAsia="仿宋" w:cs="仿宋"/>
          <w:sz w:val="32"/>
          <w:szCs w:val="32"/>
        </w:rPr>
      </w:pPr>
      <w:r>
        <w:rPr>
          <w:rFonts w:hint="eastAsia" w:ascii="仿宋" w:hAnsi="仿宋" w:eastAsia="仿宋" w:cs="仿宋"/>
          <w:sz w:val="32"/>
          <w:szCs w:val="32"/>
        </w:rPr>
        <w:t>社会保障和就业支出（类）行政事业单位养老支出（款）机关事业单位基本养老保险缴费支出（项）</w:t>
      </w:r>
      <w:r>
        <w:rPr>
          <w:rFonts w:hint="eastAsia" w:ascii="仿宋" w:hAnsi="仿宋" w:eastAsia="仿宋" w:cs="仿宋"/>
          <w:sz w:val="32"/>
          <w:szCs w:val="32"/>
          <w:lang w:eastAsia="zh-CN"/>
        </w:rPr>
        <w:t>：</w:t>
      </w:r>
      <w:r>
        <w:rPr>
          <w:rFonts w:hint="eastAsia" w:ascii="仿宋" w:hAnsi="仿宋" w:eastAsia="仿宋" w:cs="仿宋"/>
          <w:sz w:val="32"/>
          <w:szCs w:val="32"/>
        </w:rPr>
        <w:t>反映机关事业单位实施养老保险制度由单位缴纳的基本养老保险支出。</w:t>
      </w:r>
    </w:p>
    <w:p>
      <w:pPr>
        <w:pStyle w:val="2"/>
        <w:numPr>
          <w:ilvl w:val="0"/>
          <w:numId w:val="6"/>
        </w:numPr>
        <w:spacing w:before="93"/>
        <w:ind w:left="0" w:leftChars="0" w:firstLine="400" w:firstLineChars="0"/>
        <w:rPr>
          <w:rFonts w:ascii="仿宋" w:hAnsi="仿宋" w:eastAsia="仿宋" w:cs="仿宋"/>
          <w:sz w:val="32"/>
          <w:szCs w:val="32"/>
        </w:rPr>
      </w:pPr>
      <w:r>
        <w:rPr>
          <w:rFonts w:hint="eastAsia" w:ascii="仿宋" w:hAnsi="仿宋" w:eastAsia="仿宋" w:cs="仿宋"/>
          <w:sz w:val="32"/>
          <w:szCs w:val="32"/>
        </w:rPr>
        <w:t>社会保障和就业支出（类）行政事业单位养老支出（款）机关事业单位职业年金缴费支出（项）</w:t>
      </w:r>
      <w:r>
        <w:rPr>
          <w:rFonts w:hint="eastAsia" w:ascii="仿宋" w:hAnsi="仿宋" w:eastAsia="仿宋" w:cs="仿宋"/>
          <w:sz w:val="32"/>
          <w:szCs w:val="32"/>
          <w:lang w:eastAsia="zh-CN"/>
        </w:rPr>
        <w:t>：</w:t>
      </w:r>
      <w:r>
        <w:rPr>
          <w:rFonts w:hint="eastAsia" w:ascii="仿宋" w:hAnsi="仿宋" w:eastAsia="仿宋" w:cs="仿宋"/>
          <w:sz w:val="32"/>
          <w:szCs w:val="32"/>
        </w:rPr>
        <w:t>反映机关事业单位实施养老保险制度由单位实际缴纳的职业年金支出。</w:t>
      </w:r>
    </w:p>
    <w:p>
      <w:pPr>
        <w:numPr>
          <w:ilvl w:val="0"/>
          <w:numId w:val="6"/>
        </w:numPr>
        <w:ind w:left="0" w:leftChars="0" w:firstLine="400" w:firstLineChars="0"/>
        <w:rPr>
          <w:rFonts w:ascii="??_GB2312" w:eastAsia="Times New Roman"/>
          <w:color w:val="000000"/>
          <w:sz w:val="32"/>
          <w:szCs w:val="32"/>
        </w:rPr>
      </w:pPr>
      <w:r>
        <w:rPr>
          <w:rFonts w:hint="eastAsia" w:ascii="仿宋" w:hAnsi="仿宋" w:eastAsia="仿宋" w:cs="仿宋"/>
          <w:sz w:val="32"/>
          <w:szCs w:val="32"/>
        </w:rPr>
        <w:t>卫生健康支出（类）行政事业单位医疗（款）事业单位医疗（项）</w:t>
      </w:r>
      <w:r>
        <w:rPr>
          <w:rFonts w:hint="eastAsia" w:ascii="仿宋" w:hAnsi="仿宋" w:eastAsia="仿宋" w:cs="仿宋"/>
          <w:sz w:val="32"/>
          <w:szCs w:val="32"/>
          <w:lang w:eastAsia="zh-CN"/>
        </w:rPr>
        <w:t>：</w:t>
      </w:r>
      <w:r>
        <w:rPr>
          <w:rFonts w:hint="eastAsia" w:ascii="仿宋" w:hAnsi="仿宋" w:eastAsia="仿宋" w:cs="仿宋"/>
          <w:sz w:val="32"/>
          <w:szCs w:val="32"/>
        </w:rPr>
        <w:t>反映财政部门安排的事业单位基本医疗保险缴费经费，未参加医疗保险的事业单位的公费医疗经费</w:t>
      </w:r>
      <w:r>
        <w:rPr>
          <w:rFonts w:hint="eastAsia" w:ascii="仿宋" w:hAnsi="仿宋" w:eastAsia="仿宋" w:cs="仿宋"/>
          <w:sz w:val="32"/>
          <w:szCs w:val="32"/>
          <w:lang w:eastAsia="zh-CN"/>
        </w:rPr>
        <w:t>，</w:t>
      </w:r>
      <w:r>
        <w:rPr>
          <w:rFonts w:hint="eastAsia" w:ascii="仿宋" w:hAnsi="仿宋" w:eastAsia="仿宋" w:cs="仿宋"/>
          <w:sz w:val="32"/>
          <w:szCs w:val="32"/>
        </w:rPr>
        <w:t>按国家规定享受离休人员</w:t>
      </w:r>
      <w:r>
        <w:rPr>
          <w:rFonts w:hint="eastAsia" w:ascii="仿宋" w:hAnsi="仿宋" w:eastAsia="仿宋" w:cs="仿宋"/>
          <w:sz w:val="32"/>
          <w:szCs w:val="32"/>
          <w:lang w:eastAsia="zh-CN"/>
        </w:rPr>
        <w:t>待遇</w:t>
      </w:r>
      <w:r>
        <w:rPr>
          <w:rFonts w:hint="eastAsia" w:ascii="仿宋" w:hAnsi="仿宋" w:eastAsia="仿宋" w:cs="仿宋"/>
          <w:sz w:val="32"/>
          <w:szCs w:val="32"/>
        </w:rPr>
        <w:t>的医疗经费。</w:t>
      </w:r>
    </w:p>
    <w:p>
      <w:pPr>
        <w:numPr>
          <w:ilvl w:val="0"/>
          <w:numId w:val="6"/>
        </w:numPr>
        <w:ind w:left="0" w:leftChars="0" w:firstLine="400" w:firstLineChars="0"/>
        <w:rPr>
          <w:rFonts w:ascii="仿宋" w:hAnsi="仿宋" w:eastAsia="仿宋" w:cs="仿宋"/>
          <w:sz w:val="32"/>
          <w:szCs w:val="32"/>
        </w:rPr>
      </w:pPr>
      <w:r>
        <w:rPr>
          <w:rFonts w:hint="eastAsia" w:ascii="仿宋" w:hAnsi="仿宋" w:eastAsia="仿宋" w:cs="仿宋"/>
          <w:sz w:val="32"/>
          <w:szCs w:val="32"/>
        </w:rPr>
        <w:t>住房保障支出（类）住房改革支出（款）住房公积金（项）</w:t>
      </w:r>
      <w:r>
        <w:rPr>
          <w:rFonts w:hint="eastAsia" w:ascii="仿宋" w:hAnsi="仿宋" w:eastAsia="仿宋" w:cs="仿宋"/>
          <w:sz w:val="32"/>
          <w:szCs w:val="32"/>
          <w:lang w:eastAsia="zh-CN"/>
        </w:rPr>
        <w:t>：</w:t>
      </w:r>
      <w:r>
        <w:rPr>
          <w:rFonts w:hint="eastAsia" w:ascii="仿宋" w:hAnsi="仿宋" w:eastAsia="仿宋" w:cs="仿宋"/>
          <w:sz w:val="32"/>
          <w:szCs w:val="32"/>
        </w:rPr>
        <w:t>反映行政事业单位按人力资源和社会保障部、财政部规定的基本工资和津贴补贴以及规定比例为职工缴纳的住房公积金。</w:t>
      </w:r>
    </w:p>
    <w:p>
      <w:pPr>
        <w:pStyle w:val="2"/>
        <w:numPr>
          <w:ilvl w:val="0"/>
          <w:numId w:val="6"/>
        </w:numPr>
        <w:spacing w:before="93"/>
        <w:ind w:left="0" w:leftChars="0" w:firstLine="400" w:firstLineChars="0"/>
        <w:rPr>
          <w:rFonts w:ascii="仿宋" w:hAnsi="仿宋" w:eastAsia="仿宋" w:cs="仿宋"/>
          <w:sz w:val="32"/>
          <w:szCs w:val="32"/>
        </w:rPr>
      </w:pPr>
      <w:r>
        <w:rPr>
          <w:rFonts w:hint="eastAsia" w:ascii="仿宋" w:hAnsi="仿宋" w:eastAsia="仿宋" w:cs="仿宋"/>
          <w:sz w:val="32"/>
          <w:szCs w:val="32"/>
        </w:rPr>
        <w:t>基本支出：指为保障机构正常运转、完成日常工作任务而发生的人员支出和公用支出。</w:t>
      </w:r>
    </w:p>
    <w:p>
      <w:pPr>
        <w:pStyle w:val="2"/>
        <w:numPr>
          <w:ilvl w:val="0"/>
          <w:numId w:val="6"/>
        </w:numPr>
        <w:spacing w:before="93"/>
        <w:ind w:left="0" w:leftChars="0" w:firstLine="400" w:firstLineChars="0"/>
        <w:rPr>
          <w:rFonts w:ascii="仿宋" w:hAnsi="仿宋" w:eastAsia="仿宋" w:cs="仿宋"/>
          <w:sz w:val="32"/>
          <w:szCs w:val="32"/>
        </w:rPr>
      </w:pPr>
      <w:r>
        <w:rPr>
          <w:rFonts w:hint="eastAsia" w:ascii="仿宋" w:hAnsi="仿宋" w:eastAsia="仿宋" w:cs="仿宋"/>
          <w:sz w:val="32"/>
          <w:szCs w:val="32"/>
        </w:rPr>
        <w:t>项目支出：指在基本支出之外为完成特定行政任务和事业发展目标所发生的支出。</w:t>
      </w:r>
    </w:p>
    <w:p>
      <w:pPr>
        <w:pStyle w:val="2"/>
        <w:numPr>
          <w:ilvl w:val="0"/>
          <w:numId w:val="6"/>
        </w:numPr>
        <w:spacing w:before="93"/>
        <w:ind w:left="0" w:leftChars="0" w:firstLine="400" w:firstLineChars="0"/>
        <w:rPr>
          <w:sz w:val="32"/>
          <w:szCs w:val="32"/>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_GB2312" w:eastAsia="Times New Roman" w:cs="黑体"/>
          <w:sz w:val="32"/>
          <w:szCs w:val="32"/>
        </w:rPr>
      </w:pPr>
    </w:p>
    <w:p>
      <w:pPr>
        <w:spacing w:line="600" w:lineRule="exact"/>
        <w:jc w:val="center"/>
        <w:outlineLvl w:val="0"/>
        <w:rPr>
          <w:rFonts w:ascii="仿宋_GB2312" w:hAnsi="仿宋_GB2312" w:eastAsia="仿宋_GB2312" w:cs="仿宋_GB2312"/>
          <w:color w:val="auto"/>
          <w:sz w:val="32"/>
          <w:szCs w:val="32"/>
          <w:highlight w:val="none"/>
        </w:rPr>
      </w:pPr>
      <w:r>
        <w:rPr>
          <w:rFonts w:ascii="宋体"/>
          <w:b/>
          <w:color w:val="000000"/>
          <w:sz w:val="44"/>
          <w:szCs w:val="44"/>
        </w:rPr>
        <w:br w:type="page"/>
      </w:r>
      <w:bookmarkStart w:id="78" w:name="_Toc15377226"/>
    </w:p>
    <w:p>
      <w:pPr>
        <w:numPr>
          <w:ilvl w:val="0"/>
          <w:numId w:val="5"/>
        </w:numPr>
        <w:spacing w:line="600" w:lineRule="exact"/>
        <w:ind w:left="0" w:leftChars="0" w:firstLine="660" w:firstLineChars="150"/>
        <w:jc w:val="center"/>
        <w:outlineLvl w:val="0"/>
        <w:rPr>
          <w:rStyle w:val="30"/>
          <w:rFonts w:hint="eastAsia" w:ascii="黑体" w:hAnsi="黑体" w:eastAsia="黑体"/>
          <w:b w:val="0"/>
          <w:color w:val="000000"/>
        </w:rPr>
      </w:pPr>
      <w:bookmarkStart w:id="79" w:name="_Toc20681"/>
      <w:bookmarkStart w:id="80" w:name="_Toc15396618"/>
      <w:r>
        <w:rPr>
          <w:rStyle w:val="30"/>
          <w:rFonts w:hint="eastAsia" w:ascii="黑体" w:hAnsi="黑体" w:eastAsia="黑体"/>
          <w:b w:val="0"/>
          <w:color w:val="000000"/>
        </w:rPr>
        <w:t>附件</w:t>
      </w:r>
      <w:bookmarkEnd w:id="79"/>
    </w:p>
    <w:p>
      <w:pPr>
        <w:pStyle w:val="2"/>
        <w:spacing w:before="93"/>
        <w:rPr>
          <w:rFonts w:ascii="黑体" w:hAnsi="黑体" w:eastAsia="黑体" w:cs="黑体"/>
          <w:sz w:val="32"/>
          <w:szCs w:val="32"/>
        </w:rPr>
      </w:pPr>
      <w:r>
        <w:rPr>
          <w:rFonts w:hint="eastAsia" w:ascii="黑体" w:hAnsi="黑体" w:eastAsia="黑体" w:cs="黑体"/>
          <w:sz w:val="32"/>
          <w:szCs w:val="32"/>
        </w:rPr>
        <w:t>附件1</w:t>
      </w:r>
    </w:p>
    <w:tbl>
      <w:tblPr>
        <w:tblStyle w:val="12"/>
        <w:tblW w:w="9440" w:type="dxa"/>
        <w:jc w:val="center"/>
        <w:tblLayout w:type="autofit"/>
        <w:tblCellMar>
          <w:top w:w="0" w:type="dxa"/>
          <w:left w:w="108" w:type="dxa"/>
          <w:bottom w:w="0" w:type="dxa"/>
          <w:right w:w="108" w:type="dxa"/>
        </w:tblCellMar>
      </w:tblPr>
      <w:tblGrid>
        <w:gridCol w:w="576"/>
        <w:gridCol w:w="1185"/>
        <w:gridCol w:w="1036"/>
        <w:gridCol w:w="1421"/>
        <w:gridCol w:w="396"/>
        <w:gridCol w:w="969"/>
        <w:gridCol w:w="396"/>
        <w:gridCol w:w="846"/>
        <w:gridCol w:w="541"/>
        <w:gridCol w:w="576"/>
        <w:gridCol w:w="1498"/>
      </w:tblGrid>
      <w:tr>
        <w:tblPrEx>
          <w:tblCellMar>
            <w:top w:w="0" w:type="dxa"/>
            <w:left w:w="108" w:type="dxa"/>
            <w:bottom w:w="0" w:type="dxa"/>
            <w:right w:w="108" w:type="dxa"/>
          </w:tblCellMar>
        </w:tblPrEx>
        <w:trPr>
          <w:trHeight w:val="497" w:hRule="atLeast"/>
          <w:jc w:val="center"/>
        </w:trPr>
        <w:tc>
          <w:tcPr>
            <w:tcW w:w="94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3" w:hRule="atLeast"/>
          <w:jc w:val="center"/>
        </w:trPr>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51080021Y000000176770-</w:t>
            </w:r>
            <w:r>
              <w:rPr>
                <w:rStyle w:val="32"/>
                <w:lang w:val="en-US" w:eastAsia="zh-CN" w:bidi="ar"/>
              </w:rPr>
              <w:t>其他公用经费（福利、工会、公车补贴、党建、退休活动）</w:t>
            </w:r>
          </w:p>
        </w:tc>
      </w:tr>
      <w:tr>
        <w:tblPrEx>
          <w:tblCellMar>
            <w:top w:w="0" w:type="dxa"/>
            <w:left w:w="108" w:type="dxa"/>
            <w:bottom w:w="0" w:type="dxa"/>
            <w:right w:w="108" w:type="dxa"/>
          </w:tblCellMar>
        </w:tblPrEx>
        <w:trPr>
          <w:trHeight w:val="741" w:hRule="atLeast"/>
          <w:jc w:val="center"/>
        </w:trPr>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805" w:type="dxa"/>
            <w:tcBorders>
              <w:top w:val="nil"/>
              <w:left w:val="nil"/>
              <w:bottom w:val="nil"/>
              <w:right w:val="nil"/>
            </w:tcBorders>
            <w:shd w:val="clear" w:color="auto" w:fill="auto"/>
            <w:vAlign w:val="center"/>
          </w:tcPr>
          <w:p>
            <w:pPr>
              <w:widowControl/>
              <w:jc w:val="left"/>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253"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4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497"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保障单位日常运转，提高预算编制质量，严格执行预算</w:t>
            </w:r>
          </w:p>
        </w:tc>
        <w:tc>
          <w:tcPr>
            <w:tcW w:w="34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保障单位日常运转，提高预算编制质量，严格执行预算</w:t>
            </w:r>
          </w:p>
        </w:tc>
      </w:tr>
      <w:tr>
        <w:tblPrEx>
          <w:tblCellMar>
            <w:top w:w="0" w:type="dxa"/>
            <w:left w:w="108" w:type="dxa"/>
            <w:bottom w:w="0" w:type="dxa"/>
            <w:right w:w="108" w:type="dxa"/>
          </w:tblCellMar>
        </w:tblPrEx>
        <w:trPr>
          <w:trHeight w:val="741"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通过项目实施保障单位日常运转。</w:t>
            </w:r>
          </w:p>
        </w:tc>
      </w:tr>
      <w:tr>
        <w:tblPrEx>
          <w:tblCellMar>
            <w:top w:w="0" w:type="dxa"/>
            <w:left w:w="108" w:type="dxa"/>
            <w:bottom w:w="0" w:type="dxa"/>
            <w:right w:w="108" w:type="dxa"/>
          </w:tblCellMar>
        </w:tblPrEx>
        <w:trPr>
          <w:trHeight w:val="497"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7.78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lang w:val="en-US"/>
              </w:rPr>
            </w:pPr>
            <w:r>
              <w:rPr>
                <w:rFonts w:hint="eastAsia" w:ascii="宋体" w:hAnsi="宋体" w:cs="宋体"/>
                <w:color w:val="000000"/>
                <w:kern w:val="0"/>
                <w:sz w:val="18"/>
                <w:szCs w:val="18"/>
                <w:lang w:val="en-US" w:eastAsia="zh-CN"/>
              </w:rPr>
              <w:t>0.00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7.78</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2.年中发生预算调整的（追加或调减）</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97"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7.78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lang w:val="en-US"/>
              </w:rPr>
            </w:pPr>
            <w:r>
              <w:rPr>
                <w:rFonts w:hint="eastAsia" w:ascii="宋体" w:hAnsi="宋体" w:cs="宋体"/>
                <w:color w:val="000000"/>
                <w:kern w:val="0"/>
                <w:sz w:val="18"/>
                <w:szCs w:val="18"/>
                <w:lang w:val="en-US" w:eastAsia="zh-CN"/>
              </w:rPr>
              <w:t>0.00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7.78</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97"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144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85"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Style w:val="32"/>
                <w:lang w:val="en-US" w:eastAsia="zh-CN" w:bidi="ar"/>
              </w:rPr>
              <w:t>质量指标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Style w:val="32"/>
                <w:lang w:val="en-US" w:eastAsia="zh-CN" w:bidi="ar"/>
              </w:rPr>
              <w:t>预算编制准确率（计算方法为：∣（执行数-预算数）/预算数∣）</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反向指标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22</w:t>
            </w:r>
            <w:r>
              <w:rPr>
                <w:rFonts w:ascii="宋体" w:hAnsi="宋体" w:cs="宋体"/>
                <w:color w:val="000000"/>
                <w:kern w:val="0"/>
                <w:sz w:val="18"/>
                <w:szCs w:val="18"/>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85"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rFonts w:ascii="宋体" w:hAnsi="宋体" w:eastAsia="宋体" w:cs="宋体"/>
                <w:lang w:val="en-US" w:eastAsia="zh-CN" w:bidi="ar"/>
              </w:rPr>
              <w:t>科目调整次数</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反向指标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经济效益指标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“三公经费”控制率[计算方法为：（三公经费实际支出数/预算安排数]×100%）</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反向指标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474"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经济效益指标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运转保障率</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53" w:hRule="atLeast"/>
          <w:jc w:val="center"/>
        </w:trPr>
        <w:tc>
          <w:tcPr>
            <w:tcW w:w="68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97"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9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结合自评情况，说明项目自评总分</w:t>
            </w:r>
            <w:r>
              <w:rPr>
                <w:rFonts w:hint="eastAsia" w:ascii="微软雅黑" w:hAnsi="微软雅黑" w:eastAsia="微软雅黑" w:cs="微软雅黑"/>
                <w:color w:val="000000"/>
                <w:kern w:val="0"/>
                <w:sz w:val="16"/>
                <w:szCs w:val="16"/>
                <w:lang w:val="en-US" w:eastAsia="zh-CN"/>
              </w:rPr>
              <w:t>90</w:t>
            </w:r>
            <w:r>
              <w:rPr>
                <w:rFonts w:hint="eastAsia" w:ascii="微软雅黑" w:hAnsi="微软雅黑" w:eastAsia="微软雅黑" w:cs="微软雅黑"/>
                <w:color w:val="000000"/>
                <w:kern w:val="0"/>
                <w:sz w:val="16"/>
                <w:szCs w:val="16"/>
              </w:rPr>
              <w:t>分，保障单位日常运转，提高预算编制质量，严格执行预算.</w:t>
            </w:r>
          </w:p>
        </w:tc>
      </w:tr>
      <w:tr>
        <w:tblPrEx>
          <w:tblCellMar>
            <w:top w:w="0" w:type="dxa"/>
            <w:left w:w="108" w:type="dxa"/>
            <w:bottom w:w="0" w:type="dxa"/>
            <w:right w:w="108" w:type="dxa"/>
          </w:tblCellMar>
        </w:tblPrEx>
        <w:trPr>
          <w:trHeight w:val="497"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9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497"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9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702" w:hRule="atLeast"/>
          <w:jc w:val="center"/>
        </w:trPr>
        <w:tc>
          <w:tcPr>
            <w:tcW w:w="46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8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93"/>
        <w:rPr>
          <w:rFonts w:ascii="黑体" w:hAnsi="黑体" w:eastAsia="黑体" w:cs="黑体"/>
          <w:sz w:val="32"/>
          <w:szCs w:val="32"/>
        </w:rPr>
      </w:pPr>
    </w:p>
    <w:p>
      <w:pPr>
        <w:pStyle w:val="2"/>
        <w:spacing w:before="93"/>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bl>
      <w:tblPr>
        <w:tblStyle w:val="12"/>
        <w:tblW w:w="9460" w:type="dxa"/>
        <w:jc w:val="center"/>
        <w:tblLayout w:type="autofit"/>
        <w:tblCellMar>
          <w:top w:w="0" w:type="dxa"/>
          <w:left w:w="108" w:type="dxa"/>
          <w:bottom w:w="0" w:type="dxa"/>
          <w:right w:w="108" w:type="dxa"/>
        </w:tblCellMar>
      </w:tblPr>
      <w:tblGrid>
        <w:gridCol w:w="576"/>
        <w:gridCol w:w="1195"/>
        <w:gridCol w:w="1060"/>
        <w:gridCol w:w="1340"/>
        <w:gridCol w:w="396"/>
        <w:gridCol w:w="978"/>
        <w:gridCol w:w="396"/>
        <w:gridCol w:w="846"/>
        <w:gridCol w:w="327"/>
        <w:gridCol w:w="249"/>
        <w:gridCol w:w="576"/>
        <w:gridCol w:w="1521"/>
      </w:tblGrid>
      <w:tr>
        <w:tblPrEx>
          <w:tblCellMar>
            <w:top w:w="0" w:type="dxa"/>
            <w:left w:w="108" w:type="dxa"/>
            <w:bottom w:w="0" w:type="dxa"/>
            <w:right w:w="108" w:type="dxa"/>
          </w:tblCellMar>
        </w:tblPrEx>
        <w:trPr>
          <w:trHeight w:val="90" w:hRule="atLeast"/>
          <w:jc w:val="center"/>
        </w:trPr>
        <w:tc>
          <w:tcPr>
            <w:tcW w:w="946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90" w:hRule="atLeast"/>
          <w:jc w:val="center"/>
        </w:trPr>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8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51080022R00000026754</w:t>
            </w:r>
            <w:r>
              <w:rPr>
                <w:rFonts w:ascii="宋体" w:hAnsi="宋体" w:cs="宋体"/>
                <w:color w:val="000000"/>
                <w:kern w:val="0"/>
                <w:sz w:val="18"/>
                <w:szCs w:val="18"/>
              </w:rPr>
              <w:t>6-</w:t>
            </w:r>
            <w:r>
              <w:rPr>
                <w:rStyle w:val="32"/>
                <w:lang w:val="en-US" w:eastAsia="zh-CN" w:bidi="ar"/>
              </w:rPr>
              <w:t>定额公用经费（事业）</w:t>
            </w:r>
          </w:p>
        </w:tc>
      </w:tr>
      <w:tr>
        <w:tblPrEx>
          <w:tblCellMar>
            <w:top w:w="0" w:type="dxa"/>
            <w:left w:w="108" w:type="dxa"/>
            <w:bottom w:w="0" w:type="dxa"/>
            <w:right w:w="108" w:type="dxa"/>
          </w:tblCellMar>
        </w:tblPrEx>
        <w:trPr>
          <w:trHeight w:val="676" w:hRule="atLeast"/>
          <w:jc w:val="center"/>
        </w:trPr>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1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173" w:type="dxa"/>
            <w:gridSpan w:val="2"/>
            <w:tcBorders>
              <w:top w:val="nil"/>
              <w:left w:val="nil"/>
              <w:bottom w:val="nil"/>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3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9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1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87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sz w:val="18"/>
                <w:szCs w:val="18"/>
              </w:rPr>
            </w:pPr>
          </w:p>
        </w:tc>
        <w:tc>
          <w:tcPr>
            <w:tcW w:w="41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保障单位日常运转，提高预算编制质量，严格执行预算</w:t>
            </w:r>
          </w:p>
        </w:tc>
        <w:tc>
          <w:tcPr>
            <w:tcW w:w="3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color w:val="000000"/>
                <w:sz w:val="18"/>
                <w:szCs w:val="18"/>
              </w:rPr>
            </w:pPr>
            <w:r>
              <w:rPr>
                <w:rStyle w:val="32"/>
                <w:lang w:val="en-US" w:eastAsia="zh-CN" w:bidi="ar"/>
              </w:rPr>
              <w:t>保障单位日常运转，提高预算编制质量，严格执行预算</w:t>
            </w:r>
          </w:p>
        </w:tc>
      </w:tr>
      <w:tr>
        <w:tblPrEx>
          <w:tblCellMar>
            <w:top w:w="0" w:type="dxa"/>
            <w:left w:w="108" w:type="dxa"/>
            <w:bottom w:w="0" w:type="dxa"/>
            <w:right w:w="108" w:type="dxa"/>
          </w:tblCellMar>
        </w:tblPrEx>
        <w:trPr>
          <w:trHeight w:val="72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8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认真严格执行相关政策，</w:t>
            </w:r>
            <w:r>
              <w:rPr>
                <w:rStyle w:val="32"/>
                <w:lang w:val="en-US" w:eastAsia="zh-CN" w:bidi="ar"/>
              </w:rPr>
              <w:t>保障单位日常运转，提高预算编制质量，严格执行预算。</w:t>
            </w:r>
          </w:p>
        </w:tc>
      </w:tr>
      <w:tr>
        <w:tblPrEx>
          <w:tblCellMar>
            <w:top w:w="0" w:type="dxa"/>
            <w:left w:w="108" w:type="dxa"/>
            <w:bottom w:w="0" w:type="dxa"/>
            <w:right w:w="108" w:type="dxa"/>
          </w:tblCellMar>
        </w:tblPrEx>
        <w:trPr>
          <w:trHeight w:val="9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21.6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21.6</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i/>
                <w:iCs/>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2.年中发生预算调整的（追加或调减）</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21.6</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1183"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107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科目调整次数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反向指标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color w:val="000000"/>
                <w:sz w:val="18"/>
                <w:szCs w:val="18"/>
                <w:lang w:val="en-US"/>
              </w:rPr>
            </w:pPr>
            <w:r>
              <w:rPr>
                <w:rStyle w:val="32"/>
                <w:rFonts w:hint="eastAsia"/>
                <w:lang w:val="en-US" w:eastAsia="zh-CN" w:bidi="ar"/>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预算编制准确率（计算方法为：∣（执行数-预算数）/预算数∣）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反向指标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86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经济效益指标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运转保障率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86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效益指标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经济效益指标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“三公经费”控制率[计算方法为：（三公经费实际支出数/预算安排数]×100%）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反向指标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0" w:hRule="atLeast"/>
          <w:jc w:val="center"/>
        </w:trPr>
        <w:tc>
          <w:tcPr>
            <w:tcW w:w="67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结合自评情况，说明项目自评总分9</w:t>
            </w:r>
            <w:r>
              <w:rPr>
                <w:rFonts w:hint="eastAsia" w:ascii="微软雅黑" w:hAnsi="微软雅黑" w:eastAsia="微软雅黑" w:cs="微软雅黑"/>
                <w:color w:val="000000"/>
                <w:kern w:val="0"/>
                <w:sz w:val="16"/>
                <w:szCs w:val="16"/>
                <w:lang w:val="en-US" w:eastAsia="zh-CN"/>
              </w:rPr>
              <w:t>0</w:t>
            </w:r>
            <w:r>
              <w:rPr>
                <w:rFonts w:hint="eastAsia" w:ascii="微软雅黑" w:hAnsi="微软雅黑" w:eastAsia="微软雅黑" w:cs="微软雅黑"/>
                <w:color w:val="000000"/>
                <w:kern w:val="0"/>
                <w:sz w:val="16"/>
                <w:szCs w:val="16"/>
              </w:rPr>
              <w:t>分，</w:t>
            </w:r>
            <w:r>
              <w:rPr>
                <w:rFonts w:hint="eastAsia" w:ascii="微软雅黑" w:hAnsi="微软雅黑" w:eastAsia="微软雅黑" w:cs="微软雅黑"/>
                <w:color w:val="000000"/>
                <w:kern w:val="0"/>
                <w:sz w:val="16"/>
                <w:szCs w:val="16"/>
                <w:lang w:val="en-US" w:eastAsia="zh-CN"/>
              </w:rPr>
              <w:t>保障单位日常运转，提高预算编制质量，严格执行预算。</w:t>
            </w:r>
          </w:p>
        </w:tc>
      </w:tr>
      <w:tr>
        <w:tblPrEx>
          <w:tblCellMar>
            <w:top w:w="0" w:type="dxa"/>
            <w:left w:w="108" w:type="dxa"/>
            <w:bottom w:w="0" w:type="dxa"/>
            <w:right w:w="108"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52" w:hRule="atLeast"/>
          <w:jc w:val="center"/>
        </w:trPr>
        <w:tc>
          <w:tcPr>
            <w:tcW w:w="4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8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93"/>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tbl>
      <w:tblPr>
        <w:tblStyle w:val="12"/>
        <w:tblW w:w="9280" w:type="dxa"/>
        <w:jc w:val="center"/>
        <w:tblLayout w:type="autofit"/>
        <w:tblCellMar>
          <w:top w:w="0" w:type="dxa"/>
          <w:left w:w="108" w:type="dxa"/>
          <w:bottom w:w="0" w:type="dxa"/>
          <w:right w:w="108" w:type="dxa"/>
        </w:tblCellMar>
      </w:tblPr>
      <w:tblGrid>
        <w:gridCol w:w="576"/>
        <w:gridCol w:w="1099"/>
        <w:gridCol w:w="982"/>
        <w:gridCol w:w="1285"/>
        <w:gridCol w:w="396"/>
        <w:gridCol w:w="889"/>
        <w:gridCol w:w="756"/>
        <w:gridCol w:w="846"/>
        <w:gridCol w:w="529"/>
        <w:gridCol w:w="516"/>
        <w:gridCol w:w="1406"/>
      </w:tblGrid>
      <w:tr>
        <w:tblPrEx>
          <w:tblCellMar>
            <w:top w:w="0" w:type="dxa"/>
            <w:left w:w="108" w:type="dxa"/>
            <w:bottom w:w="0" w:type="dxa"/>
            <w:right w:w="108" w:type="dxa"/>
          </w:tblCellMar>
        </w:tblPrEx>
        <w:trPr>
          <w:trHeight w:val="530" w:hRule="atLeast"/>
          <w:jc w:val="center"/>
        </w:trPr>
        <w:tc>
          <w:tcPr>
            <w:tcW w:w="92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4" w:hRule="atLeast"/>
          <w:jc w:val="center"/>
        </w:trPr>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51080022Y000000267568</w:t>
            </w:r>
            <w:r>
              <w:rPr>
                <w:rFonts w:ascii="宋体" w:hAnsi="宋体" w:cs="宋体"/>
                <w:color w:val="000000"/>
                <w:kern w:val="0"/>
                <w:sz w:val="18"/>
                <w:szCs w:val="18"/>
              </w:rPr>
              <w:t>-</w:t>
            </w:r>
            <w:r>
              <w:rPr>
                <w:rStyle w:val="32"/>
                <w:lang w:val="en-US" w:eastAsia="zh-CN" w:bidi="ar"/>
              </w:rPr>
              <w:t>文物保护费</w:t>
            </w:r>
          </w:p>
        </w:tc>
      </w:tr>
      <w:tr>
        <w:tblPrEx>
          <w:tblCellMar>
            <w:top w:w="0" w:type="dxa"/>
            <w:left w:w="108" w:type="dxa"/>
            <w:bottom w:w="0" w:type="dxa"/>
            <w:right w:w="108" w:type="dxa"/>
          </w:tblCellMar>
        </w:tblPrEx>
        <w:trPr>
          <w:trHeight w:val="747" w:hRule="atLeast"/>
          <w:jc w:val="center"/>
        </w:trPr>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846" w:type="dxa"/>
            <w:tcBorders>
              <w:top w:val="nil"/>
              <w:left w:val="nil"/>
              <w:bottom w:val="nil"/>
              <w:right w:val="nil"/>
            </w:tcBorders>
            <w:shd w:val="clear" w:color="auto" w:fill="auto"/>
            <w:vAlign w:val="center"/>
          </w:tcPr>
          <w:p>
            <w:pPr>
              <w:widowControl/>
              <w:jc w:val="left"/>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4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254"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5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洪涝、地质、大风天气所造成的景区基础设施受损，及时处置影响文物的安全隐患</w:t>
            </w:r>
          </w:p>
        </w:tc>
        <w:tc>
          <w:tcPr>
            <w:tcW w:w="32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Style w:val="32"/>
                <w:lang w:val="en-US" w:eastAsia="zh-CN" w:bidi="ar"/>
              </w:rPr>
              <w:t>洪涝、地质、大风天气所造成的景区基础设施受损，及时处置影响文物的安全隐患</w:t>
            </w:r>
          </w:p>
        </w:tc>
      </w:tr>
      <w:tr>
        <w:tblPrEx>
          <w:tblCellMar>
            <w:top w:w="0" w:type="dxa"/>
            <w:left w:w="108" w:type="dxa"/>
            <w:bottom w:w="0" w:type="dxa"/>
            <w:right w:w="108" w:type="dxa"/>
          </w:tblCellMar>
        </w:tblPrEx>
        <w:trPr>
          <w:trHeight w:val="7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Style w:val="32"/>
                <w:lang w:val="en-US" w:eastAsia="zh-CN" w:bidi="ar"/>
              </w:rPr>
              <w:t>洪涝、地质、大风天气所造成的景区基础设施受损，及时处置影响文物的安全隐患</w:t>
            </w:r>
          </w:p>
        </w:tc>
      </w:tr>
      <w:tr>
        <w:tblPrEx>
          <w:tblCellMar>
            <w:top w:w="0" w:type="dxa"/>
            <w:left w:w="108" w:type="dxa"/>
            <w:bottom w:w="0" w:type="dxa"/>
            <w:right w:w="108" w:type="dxa"/>
          </w:tblCellMar>
        </w:tblPrEx>
        <w:trPr>
          <w:trHeight w:val="501"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5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5.00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5.00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2.年中发生预算调整的（追加或调减）</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5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5.00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5.00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5.00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5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849"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993"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54" w:hRule="atLeast"/>
          <w:jc w:val="center"/>
        </w:trPr>
        <w:tc>
          <w:tcPr>
            <w:tcW w:w="57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实施紧急排危</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93" w:hRule="atLeast"/>
          <w:jc w:val="center"/>
        </w:trPr>
        <w:tc>
          <w:tcPr>
            <w:tcW w:w="57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保障景区基础设施设备完好</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座</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rPr>
          <w:trHeight w:val="1866" w:hRule="atLeast"/>
          <w:jc w:val="center"/>
        </w:trPr>
        <w:tc>
          <w:tcPr>
            <w:tcW w:w="57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可持续影响指标</w:t>
            </w:r>
          </w:p>
        </w:tc>
        <w:tc>
          <w:tcPr>
            <w:tcW w:w="12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确保游客人身安全</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8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好坏</w:t>
            </w:r>
          </w:p>
        </w:tc>
        <w:tc>
          <w:tcPr>
            <w:tcW w:w="7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座（处）</w:t>
            </w:r>
          </w:p>
        </w:tc>
        <w:tc>
          <w:tcPr>
            <w:tcW w:w="8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52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p>
        </w:tc>
      </w:tr>
      <w:tr>
        <w:trPr>
          <w:trHeight w:val="328" w:hRule="atLeast"/>
          <w:jc w:val="center"/>
        </w:trPr>
        <w:tc>
          <w:tcPr>
            <w:tcW w:w="57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可持续发展指标</w:t>
            </w:r>
          </w:p>
        </w:tc>
        <w:tc>
          <w:tcPr>
            <w:tcW w:w="12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长期保障</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定性</w:t>
            </w:r>
          </w:p>
        </w:tc>
        <w:tc>
          <w:tcPr>
            <w:tcW w:w="8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高中低</w:t>
            </w:r>
          </w:p>
        </w:tc>
        <w:tc>
          <w:tcPr>
            <w:tcW w:w="7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w:t>
            </w:r>
          </w:p>
        </w:tc>
        <w:tc>
          <w:tcPr>
            <w:tcW w:w="8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正向指标</w:t>
            </w:r>
          </w:p>
        </w:tc>
        <w:tc>
          <w:tcPr>
            <w:tcW w:w="5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40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p>
        </w:tc>
      </w:tr>
      <w:tr>
        <w:tblPrEx>
          <w:tblCellMar>
            <w:top w:w="0" w:type="dxa"/>
            <w:left w:w="108" w:type="dxa"/>
            <w:bottom w:w="0" w:type="dxa"/>
            <w:right w:w="108" w:type="dxa"/>
          </w:tblCellMar>
        </w:tblPrEx>
        <w:trPr>
          <w:trHeight w:val="254" w:hRule="atLeast"/>
          <w:jc w:val="center"/>
        </w:trPr>
        <w:tc>
          <w:tcPr>
            <w:tcW w:w="57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社会效益指标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营造安全舒适的参观环境</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高中低</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座（处）</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4"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满意度指标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服务对象满意度指标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使参观游览者感受爱国主义教育基地的安全氛围</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Style w:val="32"/>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4" w:hRule="atLeast"/>
          <w:jc w:val="center"/>
        </w:trPr>
        <w:tc>
          <w:tcPr>
            <w:tcW w:w="68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70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结合自评情况，说明项目自评总分</w:t>
            </w:r>
            <w:r>
              <w:rPr>
                <w:rFonts w:hint="eastAsia" w:ascii="微软雅黑" w:hAnsi="微软雅黑" w:eastAsia="微软雅黑" w:cs="微软雅黑"/>
                <w:color w:val="000000"/>
                <w:kern w:val="0"/>
                <w:sz w:val="16"/>
                <w:szCs w:val="16"/>
                <w:lang w:val="en-US" w:eastAsia="zh-CN"/>
              </w:rPr>
              <w:t>90</w:t>
            </w:r>
            <w:r>
              <w:rPr>
                <w:rFonts w:hint="eastAsia" w:ascii="微软雅黑" w:hAnsi="微软雅黑" w:eastAsia="微软雅黑" w:cs="微软雅黑"/>
                <w:color w:val="000000"/>
                <w:kern w:val="0"/>
                <w:sz w:val="16"/>
                <w:szCs w:val="16"/>
              </w:rPr>
              <w:t>分，保障单位日常运转，提高预算编制质量，严格执行预算</w:t>
            </w:r>
          </w:p>
        </w:tc>
      </w:tr>
      <w:tr>
        <w:tblPrEx>
          <w:tblCellMar>
            <w:top w:w="0" w:type="dxa"/>
            <w:left w:w="108" w:type="dxa"/>
            <w:bottom w:w="0" w:type="dxa"/>
            <w:right w:w="108" w:type="dxa"/>
          </w:tblCellMar>
        </w:tblPrEx>
        <w:trPr>
          <w:trHeight w:val="5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70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5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70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702" w:hRule="atLeast"/>
          <w:jc w:val="center"/>
        </w:trPr>
        <w:tc>
          <w:tcPr>
            <w:tcW w:w="43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9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93"/>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tbl>
      <w:tblPr>
        <w:tblStyle w:val="12"/>
        <w:tblW w:w="8740" w:type="dxa"/>
        <w:jc w:val="center"/>
        <w:tblLayout w:type="autofit"/>
        <w:tblCellMar>
          <w:top w:w="0" w:type="dxa"/>
          <w:left w:w="108" w:type="dxa"/>
          <w:bottom w:w="0" w:type="dxa"/>
          <w:right w:w="108" w:type="dxa"/>
        </w:tblCellMar>
      </w:tblPr>
      <w:tblGrid>
        <w:gridCol w:w="576"/>
        <w:gridCol w:w="1077"/>
        <w:gridCol w:w="947"/>
        <w:gridCol w:w="1184"/>
        <w:gridCol w:w="396"/>
        <w:gridCol w:w="873"/>
        <w:gridCol w:w="396"/>
        <w:gridCol w:w="846"/>
        <w:gridCol w:w="495"/>
        <w:gridCol w:w="576"/>
        <w:gridCol w:w="1374"/>
      </w:tblGrid>
      <w:tr>
        <w:tblPrEx>
          <w:tblCellMar>
            <w:top w:w="0" w:type="dxa"/>
            <w:left w:w="108" w:type="dxa"/>
            <w:bottom w:w="0" w:type="dxa"/>
            <w:right w:w="108" w:type="dxa"/>
          </w:tblCellMar>
        </w:tblPrEx>
        <w:trPr>
          <w:trHeight w:val="264" w:hRule="atLeast"/>
          <w:jc w:val="center"/>
        </w:trPr>
        <w:tc>
          <w:tcPr>
            <w:tcW w:w="87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112"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08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51080023R000007612345</w:t>
            </w:r>
            <w:r>
              <w:rPr>
                <w:rFonts w:ascii="宋体" w:hAnsi="宋体" w:cs="宋体"/>
                <w:color w:val="000000"/>
                <w:kern w:val="0"/>
                <w:sz w:val="18"/>
                <w:szCs w:val="18"/>
              </w:rPr>
              <w:t>-</w:t>
            </w:r>
            <w:r>
              <w:rPr>
                <w:rStyle w:val="32"/>
                <w:lang w:val="en-US" w:eastAsia="zh-CN" w:bidi="ar"/>
              </w:rPr>
              <w:t>红军文化园运转经费</w:t>
            </w:r>
          </w:p>
        </w:tc>
      </w:tr>
      <w:tr>
        <w:tblPrEx>
          <w:tblCellMar>
            <w:top w:w="0" w:type="dxa"/>
            <w:left w:w="108" w:type="dxa"/>
            <w:bottom w:w="0" w:type="dxa"/>
            <w:right w:w="108" w:type="dxa"/>
          </w:tblCellMar>
        </w:tblPrEx>
        <w:trPr>
          <w:trHeight w:val="33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7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846" w:type="dxa"/>
            <w:tcBorders>
              <w:top w:val="nil"/>
              <w:left w:val="nil"/>
              <w:bottom w:val="nil"/>
              <w:right w:val="nil"/>
            </w:tcBorders>
            <w:shd w:val="clear" w:color="auto" w:fill="auto"/>
            <w:vAlign w:val="center"/>
          </w:tcPr>
          <w:p>
            <w:pPr>
              <w:widowControl/>
              <w:jc w:val="left"/>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1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7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22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37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红军文化园免费开放成本费用（绿化及卫生养护费用、卫生日常保洁费用、水电、人工等日常开支、消防安全、环境卫生等设施设备维护及更换、地灾抢险及临时维修等）</w:t>
            </w:r>
          </w:p>
        </w:tc>
        <w:tc>
          <w:tcPr>
            <w:tcW w:w="32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Style w:val="32"/>
                <w:lang w:val="en-US" w:eastAsia="zh-CN" w:bidi="ar"/>
              </w:rPr>
              <w:t>红军文化园免费开放成本费用（绿化及卫生养护费用、卫生日常保洁费用、水电、人工等日常开支、消防安全、环境卫生等设施设备维护及更换、地灾抢险及临时维修等）</w:t>
            </w:r>
          </w:p>
        </w:tc>
      </w:tr>
      <w:tr>
        <w:tblPrEx>
          <w:tblCellMar>
            <w:top w:w="0" w:type="dxa"/>
            <w:left w:w="108" w:type="dxa"/>
            <w:bottom w:w="0" w:type="dxa"/>
            <w:right w:w="108" w:type="dxa"/>
          </w:tblCellMar>
        </w:tblPrEx>
        <w:trPr>
          <w:trHeight w:val="33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08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lang w:val="en-US" w:eastAsia="zh-CN"/>
              </w:rPr>
            </w:pPr>
            <w:r>
              <w:rPr>
                <w:rFonts w:ascii="宋体" w:hAnsi="宋体" w:cs="宋体"/>
                <w:color w:val="000000"/>
                <w:kern w:val="0"/>
                <w:sz w:val="18"/>
                <w:szCs w:val="18"/>
              </w:rPr>
              <w:t>严格执行相关政策，保障</w:t>
            </w:r>
            <w:r>
              <w:rPr>
                <w:rStyle w:val="32"/>
                <w:lang w:val="en-US" w:eastAsia="zh-CN" w:bidi="ar"/>
              </w:rPr>
              <w:t>红军文化园免费开放成本费用（绿化及卫生养护费用、卫生日常保洁费用、水电、人工等日常开支、消防安全、环境卫生等设施设备维护及更换、地灾抢险及临时维修等）</w:t>
            </w:r>
            <w:r>
              <w:rPr>
                <w:rStyle w:val="32"/>
                <w:rFonts w:hint="eastAsia" w:eastAsia="宋体"/>
                <w:lang w:val="en-US" w:eastAsia="zh-CN" w:bidi="ar"/>
              </w:rPr>
              <w:t>。</w:t>
            </w:r>
          </w:p>
        </w:tc>
      </w:tr>
      <w:tr>
        <w:tblPrEx>
          <w:tblCellMar>
            <w:top w:w="0" w:type="dxa"/>
            <w:left w:w="108" w:type="dxa"/>
            <w:bottom w:w="0" w:type="dxa"/>
            <w:right w:w="108" w:type="dxa"/>
          </w:tblCellMar>
        </w:tblPrEx>
        <w:trPr>
          <w:trHeight w:val="221"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11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2.18</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2.18</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2.18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2.年中发生预算调整的（追加或调减）</w:t>
            </w:r>
            <w:r>
              <w:rPr>
                <w:rFonts w:hint="eastAsia" w:ascii="黑体" w:hAnsi="黑体" w:eastAsia="黑体" w:cs="黑体"/>
                <w:color w:val="000000"/>
                <w:kern w:val="0"/>
                <w:sz w:val="18"/>
                <w:szCs w:val="18"/>
                <w:lang w:eastAsia="zh-CN"/>
              </w:rPr>
              <w:t>，</w:t>
            </w:r>
            <w:r>
              <w:rPr>
                <w:rFonts w:hint="eastAsia" w:ascii="黑体" w:hAnsi="黑体" w:eastAsia="黑体" w:cs="黑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22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2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628"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438"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13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9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绿化养护</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4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1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水费</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87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w:t>
            </w:r>
          </w:p>
        </w:tc>
        <w:tc>
          <w:tcPr>
            <w:tcW w:w="8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37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1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保洁</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定性</w:t>
            </w:r>
          </w:p>
        </w:tc>
        <w:tc>
          <w:tcPr>
            <w:tcW w:w="8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4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137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3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红军文化园电费</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93"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9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社会效益指标</w:t>
            </w:r>
          </w:p>
        </w:tc>
        <w:tc>
          <w:tcPr>
            <w:tcW w:w="11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免费开放，常态化开展红色革命和爱国主义教育</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87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年</w:t>
            </w:r>
          </w:p>
        </w:tc>
        <w:tc>
          <w:tcPr>
            <w:tcW w:w="8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37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365"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可持续影响指标</w:t>
            </w:r>
          </w:p>
        </w:tc>
        <w:tc>
          <w:tcPr>
            <w:tcW w:w="11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常态化开展绿化、保洁等工作</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定性</w:t>
            </w:r>
          </w:p>
        </w:tc>
        <w:tc>
          <w:tcPr>
            <w:tcW w:w="8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年</w:t>
            </w:r>
          </w:p>
        </w:tc>
        <w:tc>
          <w:tcPr>
            <w:tcW w:w="8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5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37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12" w:hRule="atLeast"/>
          <w:jc w:val="center"/>
        </w:trPr>
        <w:tc>
          <w:tcPr>
            <w:tcW w:w="62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2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1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宋体" w:cs="微软雅黑"/>
                <w:color w:val="000000"/>
                <w:sz w:val="16"/>
                <w:szCs w:val="16"/>
                <w:lang w:eastAsia="zh-CN"/>
              </w:rPr>
            </w:pPr>
            <w:r>
              <w:rPr>
                <w:rFonts w:hint="eastAsia" w:ascii="微软雅黑" w:hAnsi="微软雅黑" w:eastAsia="微软雅黑" w:cs="微软雅黑"/>
                <w:color w:val="000000"/>
                <w:kern w:val="0"/>
                <w:sz w:val="16"/>
                <w:szCs w:val="16"/>
              </w:rPr>
              <w:t>结合自评情况，说明项目自评总分9</w:t>
            </w:r>
            <w:r>
              <w:rPr>
                <w:rFonts w:hint="eastAsia" w:ascii="微软雅黑" w:hAnsi="微软雅黑" w:eastAsia="微软雅黑" w:cs="微软雅黑"/>
                <w:color w:val="000000"/>
                <w:kern w:val="0"/>
                <w:sz w:val="16"/>
                <w:szCs w:val="16"/>
                <w:lang w:val="en-US" w:eastAsia="zh-CN"/>
              </w:rPr>
              <w:t>0</w:t>
            </w:r>
            <w:r>
              <w:rPr>
                <w:rFonts w:hint="eastAsia" w:ascii="微软雅黑" w:hAnsi="微软雅黑" w:eastAsia="微软雅黑" w:cs="微软雅黑"/>
                <w:color w:val="000000"/>
                <w:kern w:val="0"/>
                <w:sz w:val="16"/>
                <w:szCs w:val="16"/>
              </w:rPr>
              <w:t>分，</w:t>
            </w:r>
            <w:r>
              <w:rPr>
                <w:rFonts w:ascii="宋体" w:hAnsi="宋体" w:cs="宋体"/>
                <w:color w:val="000000"/>
                <w:kern w:val="0"/>
                <w:sz w:val="18"/>
                <w:szCs w:val="18"/>
              </w:rPr>
              <w:t>严格执行相关政策，保障</w:t>
            </w:r>
            <w:r>
              <w:rPr>
                <w:rStyle w:val="32"/>
                <w:lang w:val="en-US" w:eastAsia="zh-CN" w:bidi="ar"/>
              </w:rPr>
              <w:t>红军文化园免费开放成本费用（绿化及卫生养护费用、卫生日常保洁费用、水电、人工等日常开支、消防安全、环境卫生等设施设备维护及更换、地灾抢险及临时维修等）</w:t>
            </w:r>
            <w:r>
              <w:rPr>
                <w:rStyle w:val="32"/>
                <w:rFonts w:hint="eastAsia" w:eastAsia="宋体"/>
                <w:lang w:val="en-US" w:eastAsia="zh-CN" w:bidi="ar"/>
              </w:rPr>
              <w:t>。</w:t>
            </w:r>
          </w:p>
        </w:tc>
      </w:tr>
      <w:tr>
        <w:tblPrEx>
          <w:tblCellMar>
            <w:top w:w="0" w:type="dxa"/>
            <w:left w:w="108" w:type="dxa"/>
            <w:bottom w:w="0" w:type="dxa"/>
            <w:right w:w="108" w:type="dxa"/>
          </w:tblCellMar>
        </w:tblPrEx>
        <w:trPr>
          <w:trHeight w:val="22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1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22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1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67" w:hRule="atLeast"/>
          <w:jc w:val="center"/>
        </w:trPr>
        <w:tc>
          <w:tcPr>
            <w:tcW w:w="4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5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93"/>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rPr>
      </w:pPr>
    </w:p>
    <w:p>
      <w:pPr>
        <w:pStyle w:val="2"/>
        <w:spacing w:before="93"/>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76" w:lineRule="exact"/>
        <w:ind w:firstLine="640" w:firstLineChars="200"/>
        <w:jc w:val="left"/>
        <w:outlineLvl w:val="0"/>
        <w:rPr>
          <w:rFonts w:ascii="华文仿宋" w:hAnsi="华文仿宋" w:eastAsia="华文仿宋" w:cs="仿宋_GB2312"/>
          <w:sz w:val="32"/>
          <w:szCs w:val="32"/>
        </w:rPr>
      </w:pPr>
    </w:p>
    <w:tbl>
      <w:tblPr>
        <w:tblStyle w:val="12"/>
        <w:tblW w:w="9280" w:type="dxa"/>
        <w:jc w:val="center"/>
        <w:tblLayout w:type="autofit"/>
        <w:tblCellMar>
          <w:top w:w="0" w:type="dxa"/>
          <w:left w:w="108" w:type="dxa"/>
          <w:bottom w:w="0" w:type="dxa"/>
          <w:right w:w="108" w:type="dxa"/>
        </w:tblCellMar>
      </w:tblPr>
      <w:tblGrid>
        <w:gridCol w:w="576"/>
        <w:gridCol w:w="1189"/>
        <w:gridCol w:w="1057"/>
        <w:gridCol w:w="1311"/>
        <w:gridCol w:w="576"/>
        <w:gridCol w:w="1027"/>
        <w:gridCol w:w="396"/>
        <w:gridCol w:w="846"/>
        <w:gridCol w:w="223"/>
        <w:gridCol w:w="263"/>
        <w:gridCol w:w="396"/>
        <w:gridCol w:w="1420"/>
      </w:tblGrid>
      <w:tr>
        <w:tblPrEx>
          <w:tblCellMar>
            <w:top w:w="0" w:type="dxa"/>
            <w:left w:w="108" w:type="dxa"/>
            <w:bottom w:w="0" w:type="dxa"/>
            <w:right w:w="108" w:type="dxa"/>
          </w:tblCellMar>
        </w:tblPrEx>
        <w:trPr>
          <w:trHeight w:val="494" w:hRule="atLeast"/>
          <w:jc w:val="center"/>
        </w:trPr>
        <w:tc>
          <w:tcPr>
            <w:tcW w:w="928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1" w:hRule="atLeast"/>
          <w:jc w:val="center"/>
        </w:trPr>
        <w:tc>
          <w:tcPr>
            <w:tcW w:w="17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1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51080021T000000050752</w:t>
            </w:r>
            <w:r>
              <w:rPr>
                <w:rFonts w:ascii="宋体" w:hAnsi="宋体" w:cs="宋体"/>
                <w:color w:val="000000"/>
                <w:kern w:val="0"/>
                <w:sz w:val="18"/>
                <w:szCs w:val="18"/>
              </w:rPr>
              <w:t>-</w:t>
            </w:r>
            <w:r>
              <w:rPr>
                <w:rStyle w:val="32"/>
                <w:lang w:val="en-US" w:eastAsia="zh-CN" w:bidi="ar"/>
              </w:rPr>
              <w:t>绿化及卫生费</w:t>
            </w:r>
          </w:p>
        </w:tc>
      </w:tr>
      <w:tr>
        <w:tblPrEx>
          <w:tblCellMar>
            <w:top w:w="0" w:type="dxa"/>
            <w:left w:w="108" w:type="dxa"/>
            <w:bottom w:w="0" w:type="dxa"/>
            <w:right w:w="108" w:type="dxa"/>
          </w:tblCellMar>
        </w:tblPrEx>
        <w:trPr>
          <w:trHeight w:val="737" w:hRule="atLeast"/>
          <w:jc w:val="center"/>
        </w:trPr>
        <w:tc>
          <w:tcPr>
            <w:tcW w:w="17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0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251" w:hRule="atLeast"/>
          <w:jc w:val="center"/>
        </w:trPr>
        <w:tc>
          <w:tcPr>
            <w:tcW w:w="57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18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367"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148"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22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3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根据《中共广元市委机构编制委员会办公室关于旅游服务中心等事业单位更名及职责界定有关事项的通知》，（广编办发[2020]49号）文件精神。皇泽寺景区卫生日常养护费用、绿化养护费用。</w:t>
            </w:r>
            <w:r>
              <w:rPr>
                <w:rFonts w:ascii="宋体" w:hAnsi="宋体" w:cs="宋体"/>
                <w:color w:val="000000"/>
                <w:kern w:val="0"/>
                <w:sz w:val="18"/>
                <w:szCs w:val="18"/>
              </w:rPr>
              <w:t>　</w:t>
            </w:r>
          </w:p>
        </w:tc>
        <w:tc>
          <w:tcPr>
            <w:tcW w:w="31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Style w:val="32"/>
                <w:lang w:val="en-US" w:eastAsia="zh-CN" w:bidi="ar"/>
              </w:rPr>
              <w:t>根据《中共广元市委机构编制委员会办公室关于旅游服务中心等事业单位更名及职责界定有关事项的通知》，（广编办发[2020]49号）文件精神。皇泽寺景区卫生日常养护费用、绿化养护费用。</w:t>
            </w:r>
          </w:p>
        </w:tc>
      </w:tr>
      <w:tr>
        <w:tblPrEx>
          <w:tblCellMar>
            <w:top w:w="0" w:type="dxa"/>
            <w:left w:w="108" w:type="dxa"/>
            <w:bottom w:w="0" w:type="dxa"/>
            <w:right w:w="108" w:type="dxa"/>
          </w:tblCellMar>
        </w:tblPrEx>
        <w:trPr>
          <w:trHeight w:val="73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根据《中共广元市委机构编制委员会办公室关于旅游服务中心等事业单位更名及职责界定有关事项的通知》，（广编办发[2020]49号）文件精神。皇泽寺景区卫生日常养护费用、绿化养护费用。</w:t>
            </w:r>
          </w:p>
        </w:tc>
      </w:tr>
      <w:tr>
        <w:tblPrEx>
          <w:tblCellMar>
            <w:top w:w="0" w:type="dxa"/>
            <w:left w:w="108" w:type="dxa"/>
            <w:bottom w:w="0" w:type="dxa"/>
            <w:right w:w="108" w:type="dxa"/>
          </w:tblCellMar>
        </w:tblPrEx>
        <w:trPr>
          <w:trHeight w:val="494"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53.00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53.00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98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73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Style w:val="32"/>
                <w:lang w:val="en-US" w:eastAsia="zh-CN" w:bidi="ar"/>
              </w:rPr>
              <w:t>产出指标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绿化养护</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植物花卉病虫治理，常态修建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皇泽寺景区环境达到4A景区标准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皇泽寺景区卫生日常养护费用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470000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22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生态效益指标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皇泽寺景区干净、舒适、美观</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可持续发展指标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长期保持干净、舒适、美观环境</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69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7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结合自评情况，项目自评总分</w:t>
            </w:r>
            <w:r>
              <w:rPr>
                <w:rFonts w:hint="eastAsia" w:ascii="微软雅黑" w:hAnsi="微软雅黑" w:eastAsia="微软雅黑" w:cs="微软雅黑"/>
                <w:color w:val="000000"/>
                <w:kern w:val="0"/>
                <w:sz w:val="16"/>
                <w:szCs w:val="16"/>
                <w:lang w:val="en-US" w:eastAsia="zh-CN"/>
              </w:rPr>
              <w:t>90</w:t>
            </w:r>
            <w:r>
              <w:rPr>
                <w:rFonts w:hint="eastAsia" w:ascii="微软雅黑" w:hAnsi="微软雅黑" w:eastAsia="微软雅黑" w:cs="微软雅黑"/>
                <w:color w:val="000000"/>
                <w:kern w:val="0"/>
                <w:sz w:val="16"/>
                <w:szCs w:val="16"/>
              </w:rPr>
              <w:t>分，严格按照绩效管理办法执行，确保博物馆开放工作有序进行，为观众提供优质服务，推动博物馆事业发展，不断满足人民群众对文化的需求，不断传承广元悠久历史文化。</w:t>
            </w:r>
          </w:p>
        </w:tc>
      </w:tr>
      <w:tr>
        <w:tblPrEx>
          <w:tblCellMar>
            <w:top w:w="0" w:type="dxa"/>
            <w:left w:w="108" w:type="dxa"/>
            <w:bottom w:w="0" w:type="dxa"/>
            <w:right w:w="108" w:type="dxa"/>
          </w:tblCellMar>
        </w:tblPrEx>
        <w:trPr>
          <w:trHeight w:val="4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7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4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7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加强绩效管理，提高绩效管理水平，进一步规范绩效目标编制。一是组织预算绩效管理相关培训，提高人员绩效管理水平。二是对项目绩效目标和指标目标设置的科学性、合理性和规范性。</w:t>
            </w:r>
          </w:p>
        </w:tc>
      </w:tr>
      <w:tr>
        <w:tblPrEx>
          <w:tblCellMar>
            <w:top w:w="0" w:type="dxa"/>
            <w:left w:w="108" w:type="dxa"/>
            <w:bottom w:w="0" w:type="dxa"/>
            <w:right w:w="108" w:type="dxa"/>
          </w:tblCellMar>
        </w:tblPrEx>
        <w:trPr>
          <w:trHeight w:val="597" w:hRule="atLeast"/>
          <w:jc w:val="center"/>
        </w:trPr>
        <w:tc>
          <w:tcPr>
            <w:tcW w:w="47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5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Lines="0" w:line="576"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2"/>
        <w:spacing w:beforeLines="0" w:line="576" w:lineRule="exact"/>
        <w:ind w:firstLine="640" w:firstLineChars="200"/>
        <w:rPr>
          <w:rFonts w:hAnsi="Calibri" w:cs="仿宋"/>
          <w:sz w:val="32"/>
          <w:szCs w:val="32"/>
        </w:rPr>
      </w:pPr>
    </w:p>
    <w:tbl>
      <w:tblPr>
        <w:tblStyle w:val="12"/>
        <w:tblW w:w="9400" w:type="dxa"/>
        <w:jc w:val="center"/>
        <w:tblLayout w:type="autofit"/>
        <w:tblCellMar>
          <w:top w:w="0" w:type="dxa"/>
          <w:left w:w="108" w:type="dxa"/>
          <w:bottom w:w="0" w:type="dxa"/>
          <w:right w:w="108" w:type="dxa"/>
        </w:tblCellMar>
      </w:tblPr>
      <w:tblGrid>
        <w:gridCol w:w="576"/>
        <w:gridCol w:w="1259"/>
        <w:gridCol w:w="1093"/>
        <w:gridCol w:w="1377"/>
        <w:gridCol w:w="396"/>
        <w:gridCol w:w="1052"/>
        <w:gridCol w:w="396"/>
        <w:gridCol w:w="846"/>
        <w:gridCol w:w="237"/>
        <w:gridCol w:w="249"/>
        <w:gridCol w:w="396"/>
        <w:gridCol w:w="1523"/>
      </w:tblGrid>
      <w:tr>
        <w:tblPrEx>
          <w:tblCellMar>
            <w:top w:w="0" w:type="dxa"/>
            <w:left w:w="108" w:type="dxa"/>
            <w:bottom w:w="0" w:type="dxa"/>
            <w:right w:w="108" w:type="dxa"/>
          </w:tblCellMar>
        </w:tblPrEx>
        <w:trPr>
          <w:trHeight w:val="447" w:hRule="atLeast"/>
          <w:jc w:val="center"/>
        </w:trPr>
        <w:tc>
          <w:tcPr>
            <w:tcW w:w="94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27" w:hRule="atLeast"/>
          <w:jc w:val="center"/>
        </w:trPr>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51080021T000000050963</w:t>
            </w:r>
            <w:r>
              <w:rPr>
                <w:rFonts w:ascii="宋体" w:hAnsi="宋体" w:cs="宋体"/>
                <w:color w:val="000000"/>
                <w:kern w:val="0"/>
                <w:sz w:val="18"/>
                <w:szCs w:val="18"/>
              </w:rPr>
              <w:t>-</w:t>
            </w:r>
            <w:r>
              <w:rPr>
                <w:rStyle w:val="32"/>
                <w:lang w:val="en-US" w:eastAsia="zh-CN" w:bidi="ar"/>
              </w:rPr>
              <w:t>宣传费</w:t>
            </w:r>
          </w:p>
        </w:tc>
      </w:tr>
      <w:tr>
        <w:tblPrEx>
          <w:tblCellMar>
            <w:top w:w="0" w:type="dxa"/>
            <w:left w:w="108" w:type="dxa"/>
            <w:bottom w:w="0" w:type="dxa"/>
            <w:right w:w="108" w:type="dxa"/>
          </w:tblCellMar>
        </w:tblPrEx>
        <w:trPr>
          <w:trHeight w:val="666" w:hRule="atLeast"/>
          <w:jc w:val="center"/>
        </w:trPr>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3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83" w:type="dxa"/>
            <w:gridSpan w:val="2"/>
            <w:tcBorders>
              <w:top w:val="nil"/>
              <w:left w:val="nil"/>
              <w:bottom w:val="nil"/>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227"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3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37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3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Style w:val="32"/>
                <w:lang w:val="en-US" w:eastAsia="zh-CN" w:bidi="ar"/>
              </w:rPr>
              <w:t>乡村振兴工作（协助发展猕猴桃产业、购买核桃苗、请农民专家现场指导辅导）、解说员工资及五险、提升景区宣传册、宣传折页等日常宣传资料、宣传资料、“两微一抖”、手机电视台等新媒体宣传媒介等传统媒介宣传推广、皇泽寺博物馆节假日演出表演、研学教程及资料开发印制门票印制购买费用、会务费、展板制作。</w:t>
            </w: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Style w:val="32"/>
                <w:lang w:val="en-US" w:eastAsia="zh-CN" w:bidi="ar"/>
              </w:rPr>
              <w:t>乡村振兴工作（协助发展猕猴桃产业、购买核桃苗、请农民专家现场指导辅导）、解说员工资及五险、提升景区宣传册、宣传折页等日常宣传资料、宣传资料、“两微一抖”、手机电视台等新媒体宣传媒介等传统媒介宣传推广、皇泽寺博物馆节假日演出表演、研学教程及资料开发印制门票印制购买费用、会务费、展板制作。</w:t>
            </w: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Style w:val="32"/>
                <w:lang w:val="en-US" w:eastAsia="zh-CN" w:bidi="ar"/>
              </w:rPr>
              <w:t>乡村振兴工作（协助发展猕猴桃产业、购买核桃苗、请农民专家现场指导辅导）、解说员工资及五险、提升景区宣传册、宣传折页等日常宣传资料、宣传资料、“两微一抖”、手机电视台等新媒体宣传媒介等传统媒介宣传推广、皇泽寺博物馆节假日演出表演、研学教程及资料开发印制门票印制购买费用、会务费、展板制作。</w:t>
            </w:r>
          </w:p>
        </w:tc>
      </w:tr>
      <w:tr>
        <w:tblPrEx>
          <w:tblCellMar>
            <w:top w:w="0" w:type="dxa"/>
            <w:left w:w="108" w:type="dxa"/>
            <w:bottom w:w="0" w:type="dxa"/>
            <w:right w:w="108" w:type="dxa"/>
          </w:tblCellMar>
        </w:tblPrEx>
        <w:trPr>
          <w:trHeight w:val="447"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57.09</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57.09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57.09</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57.09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88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Style w:val="32"/>
                <w:lang w:val="en-US" w:eastAsia="zh-CN" w:bidi="ar"/>
              </w:rPr>
              <w:t>产出指标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门票印制购买费用、会务费、展板制作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15</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乡村振兴工作（协助发展猕猴桃茶行业、购买核桃苗、请农民专家现场辅导指导）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提升景区宣传册、宣传折页等日常宣传资料、宣传资料耗材费用</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解说员工资及五险</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20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73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社会效益指标</w:t>
            </w:r>
          </w:p>
        </w:tc>
        <w:tc>
          <w:tcPr>
            <w:tcW w:w="13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“两微一抖”、手机电视台等新媒体宣传媒介等传统媒介宣传推广费用</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52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社会效益指标</w:t>
            </w:r>
          </w:p>
        </w:tc>
        <w:tc>
          <w:tcPr>
            <w:tcW w:w="13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皇泽寺博物馆节假日演出表演</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定性</w:t>
            </w:r>
          </w:p>
        </w:tc>
        <w:tc>
          <w:tcPr>
            <w:tcW w:w="1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color w:val="000000"/>
                <w:kern w:val="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52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社会效益指标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学教程及资料开发印制</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69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4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结合自评情况，说明项目自评总分9</w:t>
            </w:r>
            <w:r>
              <w:rPr>
                <w:rFonts w:hint="eastAsia" w:ascii="微软雅黑" w:hAnsi="微软雅黑" w:eastAsia="微软雅黑" w:cs="微软雅黑"/>
                <w:color w:val="000000"/>
                <w:kern w:val="0"/>
                <w:sz w:val="16"/>
                <w:szCs w:val="16"/>
                <w:lang w:val="en-US" w:eastAsia="zh-CN"/>
              </w:rPr>
              <w:t>0</w:t>
            </w:r>
            <w:r>
              <w:rPr>
                <w:rFonts w:hint="eastAsia" w:ascii="微软雅黑" w:hAnsi="微软雅黑" w:eastAsia="微软雅黑" w:cs="微软雅黑"/>
                <w:color w:val="000000"/>
                <w:kern w:val="0"/>
                <w:sz w:val="16"/>
                <w:szCs w:val="16"/>
              </w:rPr>
              <w:t>分，运行维护为</w:t>
            </w:r>
            <w:r>
              <w:rPr>
                <w:rFonts w:hint="eastAsia" w:ascii="微软雅黑" w:hAnsi="微软雅黑" w:eastAsia="微软雅黑" w:cs="微软雅黑"/>
                <w:color w:val="000000"/>
                <w:kern w:val="0"/>
                <w:sz w:val="16"/>
                <w:szCs w:val="16"/>
                <w:lang w:eastAsia="zh-CN"/>
              </w:rPr>
              <w:t>宣传公用及解说员、乡村振兴工作</w:t>
            </w:r>
            <w:r>
              <w:rPr>
                <w:rFonts w:hint="eastAsia" w:ascii="微软雅黑" w:hAnsi="微软雅黑" w:eastAsia="微软雅黑" w:cs="微软雅黑"/>
                <w:color w:val="000000"/>
                <w:kern w:val="0"/>
                <w:sz w:val="16"/>
                <w:szCs w:val="16"/>
              </w:rPr>
              <w:t>为解决了基本的资金需求。在资金的使用上严格按照相关文件要求执行，并确保项目的整体推进和质量要求。</w:t>
            </w:r>
          </w:p>
        </w:tc>
      </w:tr>
      <w:tr>
        <w:tblPrEx>
          <w:tblCellMar>
            <w:top w:w="0" w:type="dxa"/>
            <w:left w:w="108" w:type="dxa"/>
            <w:bottom w:w="0" w:type="dxa"/>
            <w:right w:w="108" w:type="dxa"/>
          </w:tblCellMar>
        </w:tblPrEx>
        <w:trPr>
          <w:trHeight w:val="44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绩效指标设置的精准性、合理性有待进一步改善。</w:t>
            </w:r>
          </w:p>
        </w:tc>
      </w:tr>
      <w:tr>
        <w:tblPrEx>
          <w:tblCellMar>
            <w:top w:w="0" w:type="dxa"/>
            <w:left w:w="108" w:type="dxa"/>
            <w:bottom w:w="0" w:type="dxa"/>
            <w:right w:w="108" w:type="dxa"/>
          </w:tblCellMar>
        </w:tblPrEx>
        <w:trPr>
          <w:trHeight w:val="44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加强预算编制准确性，提高资金使用效率。</w:t>
            </w:r>
          </w:p>
        </w:tc>
      </w:tr>
      <w:tr>
        <w:tblPrEx>
          <w:tblCellMar>
            <w:top w:w="0" w:type="dxa"/>
            <w:left w:w="108" w:type="dxa"/>
            <w:bottom w:w="0" w:type="dxa"/>
            <w:right w:w="108" w:type="dxa"/>
          </w:tblCellMar>
        </w:tblPrEx>
        <w:trPr>
          <w:trHeight w:val="627" w:hRule="atLeast"/>
          <w:jc w:val="center"/>
        </w:trPr>
        <w:tc>
          <w:tcPr>
            <w:tcW w:w="47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69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Lines="0" w:line="576" w:lineRule="exact"/>
        <w:rPr>
          <w:rFonts w:ascii="黑体" w:hAnsi="黑体" w:eastAsia="黑体" w:cs="黑体"/>
          <w:sz w:val="32"/>
          <w:szCs w:val="32"/>
        </w:rPr>
      </w:pPr>
    </w:p>
    <w:p>
      <w:pPr>
        <w:pStyle w:val="2"/>
        <w:spacing w:beforeLines="0" w:line="576"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pStyle w:val="2"/>
        <w:spacing w:beforeLines="0" w:line="576" w:lineRule="exact"/>
        <w:rPr>
          <w:rFonts w:hAnsi="Calibri" w:cs="仿宋"/>
          <w:sz w:val="32"/>
          <w:szCs w:val="32"/>
        </w:rPr>
      </w:pPr>
    </w:p>
    <w:tbl>
      <w:tblPr>
        <w:tblStyle w:val="12"/>
        <w:tblW w:w="9480" w:type="dxa"/>
        <w:jc w:val="center"/>
        <w:tblLayout w:type="autofit"/>
        <w:tblCellMar>
          <w:top w:w="0" w:type="dxa"/>
          <w:left w:w="108" w:type="dxa"/>
          <w:bottom w:w="0" w:type="dxa"/>
          <w:right w:w="108" w:type="dxa"/>
        </w:tblCellMar>
      </w:tblPr>
      <w:tblGrid>
        <w:gridCol w:w="576"/>
        <w:gridCol w:w="1239"/>
        <w:gridCol w:w="1088"/>
        <w:gridCol w:w="1356"/>
        <w:gridCol w:w="576"/>
        <w:gridCol w:w="1031"/>
        <w:gridCol w:w="396"/>
        <w:gridCol w:w="846"/>
        <w:gridCol w:w="246"/>
        <w:gridCol w:w="236"/>
        <w:gridCol w:w="396"/>
        <w:gridCol w:w="1494"/>
      </w:tblGrid>
      <w:tr>
        <w:tblPrEx>
          <w:tblCellMar>
            <w:top w:w="0" w:type="dxa"/>
            <w:left w:w="108" w:type="dxa"/>
            <w:bottom w:w="0" w:type="dxa"/>
            <w:right w:w="108" w:type="dxa"/>
          </w:tblCellMar>
        </w:tblPrEx>
        <w:trPr>
          <w:trHeight w:val="560" w:hRule="atLeast"/>
          <w:jc w:val="center"/>
        </w:trPr>
        <w:tc>
          <w:tcPr>
            <w:tcW w:w="948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4" w:hRule="atLeast"/>
          <w:jc w:val="center"/>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51080021T000000050974</w:t>
            </w:r>
            <w:r>
              <w:rPr>
                <w:rFonts w:ascii="宋体" w:hAnsi="宋体" w:cs="宋体"/>
                <w:color w:val="000000"/>
                <w:kern w:val="0"/>
                <w:sz w:val="18"/>
                <w:szCs w:val="18"/>
              </w:rPr>
              <w:t>-</w:t>
            </w:r>
            <w:r>
              <w:rPr>
                <w:rStyle w:val="32"/>
                <w:lang w:val="en-US" w:eastAsia="zh-CN" w:bidi="ar"/>
              </w:rPr>
              <w:t>皇泽寺博物馆安防经费</w:t>
            </w:r>
          </w:p>
        </w:tc>
      </w:tr>
      <w:tr>
        <w:tblPrEx>
          <w:tblCellMar>
            <w:top w:w="0" w:type="dxa"/>
            <w:left w:w="108" w:type="dxa"/>
            <w:bottom w:w="0" w:type="dxa"/>
            <w:right w:w="108" w:type="dxa"/>
          </w:tblCellMar>
        </w:tblPrEx>
        <w:trPr>
          <w:trHeight w:val="710" w:hRule="atLeast"/>
          <w:jc w:val="center"/>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447" w:type="dxa"/>
            <w:gridSpan w:val="5"/>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92" w:type="dxa"/>
            <w:gridSpan w:val="2"/>
            <w:tcBorders>
              <w:top w:val="nil"/>
              <w:left w:val="nil"/>
              <w:bottom w:val="nil"/>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284"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4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835"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4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Style w:val="32"/>
                <w:lang w:val="en-US" w:eastAsia="zh-CN" w:bidi="ar"/>
              </w:rPr>
              <w:t>1、保安工资；2、保安保险；3、消防维保；4、安全应急演练1年约3次；5、消防、安防设施设备维修更换及各类档案整理、装订费；6、厨房费用；7、单位电、电话费用。</w:t>
            </w:r>
          </w:p>
        </w:tc>
        <w:tc>
          <w:tcPr>
            <w:tcW w:w="32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Style w:val="32"/>
                <w:lang w:val="en-US" w:eastAsia="zh-CN" w:bidi="ar"/>
              </w:rPr>
              <w:t>1、保安工资；2、保安保险；3、消防维保；4、安全应急演练1年约3次；5、消防、安防设施设备维修更换及各类档案整理、装订费；6、厨房费用；7、单位电、电话费用。</w:t>
            </w: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39"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65" w:type="dxa"/>
            <w:gridSpan w:val="10"/>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Style w:val="32"/>
                <w:lang w:val="en-US" w:eastAsia="zh-CN" w:bidi="ar"/>
              </w:rPr>
              <w:t>该项目资金全部用于保安工资；保安保险；消防维保；安全应急演练1年约3次；消防、安防设施设备维修更换及各类档案整理、装订费；厨房费用；单位电、电话费用。</w:t>
            </w:r>
          </w:p>
        </w:tc>
      </w:tr>
      <w:tr>
        <w:tblPrEx>
          <w:tblCellMar>
            <w:top w:w="0" w:type="dxa"/>
            <w:left w:w="108" w:type="dxa"/>
            <w:bottom w:w="0" w:type="dxa"/>
            <w:right w:w="108" w:type="dxa"/>
          </w:tblCellMar>
        </w:tblPrEx>
        <w:trPr>
          <w:trHeight w:val="56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136.60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136.60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136.60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136.60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11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restart"/>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Style w:val="32"/>
                <w:lang w:val="en-US" w:eastAsia="zh-CN" w:bidi="ar"/>
              </w:rPr>
              <w:t>产出指标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安防维护、消防维护</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20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保安工资、保险</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20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单位电、电话费用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厨房费用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高中低</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消防、安防设施设备维修更换及各类档案整理、装订费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835"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安全应急演练</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9"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设施设备添置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84" w:hRule="atLeast"/>
          <w:jc w:val="center"/>
        </w:trPr>
        <w:tc>
          <w:tcPr>
            <w:tcW w:w="71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83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结合自评情况，说明项目自评总分9</w:t>
            </w:r>
            <w:r>
              <w:rPr>
                <w:rFonts w:hint="eastAsia" w:ascii="微软雅黑" w:hAnsi="微软雅黑" w:eastAsia="微软雅黑" w:cs="微软雅黑"/>
                <w:color w:val="000000"/>
                <w:kern w:val="0"/>
                <w:sz w:val="16"/>
                <w:szCs w:val="16"/>
                <w:lang w:val="en-US" w:eastAsia="zh-CN"/>
              </w:rPr>
              <w:t>0</w:t>
            </w:r>
            <w:r>
              <w:rPr>
                <w:rFonts w:hint="eastAsia" w:ascii="微软雅黑" w:hAnsi="微软雅黑" w:eastAsia="微软雅黑" w:cs="微软雅黑"/>
                <w:color w:val="000000"/>
                <w:kern w:val="0"/>
                <w:sz w:val="16"/>
                <w:szCs w:val="16"/>
              </w:rPr>
              <w:t>分，</w:t>
            </w:r>
            <w:r>
              <w:rPr>
                <w:rStyle w:val="32"/>
                <w:lang w:val="en-US" w:eastAsia="zh-CN" w:bidi="ar"/>
              </w:rPr>
              <w:t>该项目资金全部用于保安工资；保安保险；消防维保；安全应急演练1年约3次；消防、安防设施设备维修更换及各类档案整理、装订费；厨房费用；单位电、电话费用。</w:t>
            </w:r>
          </w:p>
        </w:tc>
      </w:tr>
      <w:tr>
        <w:tblPrEx>
          <w:tblCellMar>
            <w:top w:w="0" w:type="dxa"/>
            <w:left w:w="108" w:type="dxa"/>
            <w:bottom w:w="0" w:type="dxa"/>
            <w:right w:w="108" w:type="dxa"/>
          </w:tblCellMar>
        </w:tblPrEx>
        <w:trPr>
          <w:trHeight w:val="56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56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82" w:hRule="atLeast"/>
          <w:jc w:val="center"/>
        </w:trPr>
        <w:tc>
          <w:tcPr>
            <w:tcW w:w="4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6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Lines="0" w:line="576" w:lineRule="exact"/>
        <w:rPr>
          <w:rFonts w:hAnsi="Calibri" w:cs="仿宋"/>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pStyle w:val="2"/>
        <w:spacing w:beforeLines="0" w:line="576" w:lineRule="exact"/>
        <w:rPr>
          <w:rFonts w:ascii="黑体" w:hAnsi="黑体" w:eastAsia="黑体" w:cs="黑体"/>
          <w:sz w:val="32"/>
          <w:szCs w:val="32"/>
        </w:rPr>
      </w:pPr>
    </w:p>
    <w:tbl>
      <w:tblPr>
        <w:tblStyle w:val="12"/>
        <w:tblW w:w="9500" w:type="dxa"/>
        <w:jc w:val="center"/>
        <w:tblLayout w:type="autofit"/>
        <w:tblCellMar>
          <w:top w:w="0" w:type="dxa"/>
          <w:left w:w="108" w:type="dxa"/>
          <w:bottom w:w="0" w:type="dxa"/>
          <w:right w:w="108" w:type="dxa"/>
        </w:tblCellMar>
      </w:tblPr>
      <w:tblGrid>
        <w:gridCol w:w="576"/>
        <w:gridCol w:w="1236"/>
        <w:gridCol w:w="1082"/>
        <w:gridCol w:w="1392"/>
        <w:gridCol w:w="576"/>
        <w:gridCol w:w="1058"/>
        <w:gridCol w:w="396"/>
        <w:gridCol w:w="773"/>
        <w:gridCol w:w="306"/>
        <w:gridCol w:w="180"/>
        <w:gridCol w:w="396"/>
        <w:gridCol w:w="1529"/>
      </w:tblGrid>
      <w:tr>
        <w:trPr>
          <w:trHeight w:val="601" w:hRule="atLeast"/>
          <w:jc w:val="center"/>
        </w:trPr>
        <w:tc>
          <w:tcPr>
            <w:tcW w:w="9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306" w:hRule="atLeast"/>
          <w:jc w:val="center"/>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51080022T000006786643</w:t>
            </w:r>
            <w:r>
              <w:rPr>
                <w:rFonts w:ascii="宋体" w:hAnsi="宋体" w:cs="宋体"/>
                <w:color w:val="000000"/>
                <w:kern w:val="0"/>
                <w:sz w:val="18"/>
                <w:szCs w:val="18"/>
              </w:rPr>
              <w:t>-</w:t>
            </w:r>
            <w:r>
              <w:rPr>
                <w:rStyle w:val="32"/>
                <w:lang w:val="en-US" w:eastAsia="zh-CN" w:bidi="ar"/>
              </w:rPr>
              <w:t>信息化建设费用</w:t>
            </w:r>
          </w:p>
        </w:tc>
      </w:tr>
      <w:tr>
        <w:tblPrEx>
          <w:tblCellMar>
            <w:top w:w="0" w:type="dxa"/>
            <w:left w:w="108" w:type="dxa"/>
            <w:bottom w:w="0" w:type="dxa"/>
            <w:right w:w="108" w:type="dxa"/>
          </w:tblCellMar>
        </w:tblPrEx>
        <w:trPr>
          <w:trHeight w:val="727" w:hRule="atLeast"/>
          <w:jc w:val="center"/>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79" w:type="dxa"/>
            <w:gridSpan w:val="2"/>
            <w:tcBorders>
              <w:top w:val="nil"/>
              <w:left w:val="nil"/>
              <w:bottom w:val="nil"/>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1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30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193"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根据（广文旅产领办发【2014】14号）文件、《广元市文化和旅游产业领导小组办公室关于评选第一批广元市智慧旅游示范景区和第一批广元市研学旅行示范基地的通知》精神</w:t>
            </w:r>
          </w:p>
        </w:tc>
        <w:tc>
          <w:tcPr>
            <w:tcW w:w="3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Style w:val="32"/>
                <w:lang w:val="en-US" w:eastAsia="zh-CN" w:bidi="ar"/>
              </w:rPr>
              <w:t>根据（广文旅产领办发【2014】14号）文件、《广元市文化和旅游产业领导小组办公室关于评选第一批广元市智慧旅游示范景区和第一批广元市研学旅行示范基地的通知》精神</w:t>
            </w:r>
          </w:p>
        </w:tc>
      </w:tr>
      <w:tr>
        <w:tblPrEx>
          <w:tblCellMar>
            <w:top w:w="0" w:type="dxa"/>
            <w:left w:w="108" w:type="dxa"/>
            <w:bottom w:w="0" w:type="dxa"/>
            <w:right w:w="108" w:type="dxa"/>
          </w:tblCellMar>
        </w:tblPrEx>
        <w:trPr>
          <w:trHeight w:val="89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全部用于市博物馆免费开放运行。包括：保障水电供用、设施设备维修、保障消防安全和展品安全落实24小时值班值守、举办公益性讲座，业务培训、网络信息建设、学术交流等。有序推进免费开放工作，提升服务水平。</w:t>
            </w:r>
          </w:p>
        </w:tc>
      </w:tr>
      <w:tr>
        <w:tblPrEx>
          <w:tblCellMar>
            <w:top w:w="0" w:type="dxa"/>
            <w:left w:w="108" w:type="dxa"/>
            <w:bottom w:w="0" w:type="dxa"/>
            <w:right w:w="108" w:type="dxa"/>
          </w:tblCellMar>
        </w:tblPrEx>
        <w:trPr>
          <w:trHeight w:val="601"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48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16.13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16.13</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ascii="宋体" w:hAnsi="宋体" w:cs="宋体"/>
                <w:color w:val="000000"/>
                <w:kern w:val="0"/>
                <w:sz w:val="18"/>
                <w:szCs w:val="18"/>
              </w:rPr>
              <w:t>%</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16.13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16.13</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ascii="宋体" w:hAnsi="宋体" w:cs="宋体"/>
                <w:color w:val="000000"/>
                <w:kern w:val="0"/>
                <w:sz w:val="18"/>
                <w:szCs w:val="18"/>
              </w:rPr>
              <w:t>%</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8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74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19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104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现有网络服务带宽租赁费</w:t>
            </w:r>
          </w:p>
        </w:tc>
        <w:tc>
          <w:tcPr>
            <w:tcW w:w="5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140000</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77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30</w:t>
            </w:r>
          </w:p>
        </w:tc>
        <w:tc>
          <w:tcPr>
            <w:tcW w:w="48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ascii="宋体" w:hAnsi="宋体" w:cs="宋体"/>
                <w:color w:val="000000"/>
                <w:kern w:val="0"/>
                <w:sz w:val="18"/>
                <w:szCs w:val="18"/>
              </w:rPr>
              <w:t>3</w:t>
            </w:r>
            <w:r>
              <w:rPr>
                <w:rFonts w:hint="eastAsia" w:ascii="宋体" w:hAnsi="宋体" w:cs="宋体"/>
                <w:color w:val="000000"/>
                <w:kern w:val="0"/>
                <w:sz w:val="18"/>
                <w:szCs w:val="18"/>
                <w:lang w:val="en-US" w:eastAsia="zh-CN"/>
              </w:rPr>
              <w:t>0</w:t>
            </w:r>
          </w:p>
        </w:tc>
        <w:tc>
          <w:tcPr>
            <w:tcW w:w="152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质量指标</w:t>
            </w:r>
          </w:p>
        </w:tc>
        <w:tc>
          <w:tcPr>
            <w:tcW w:w="13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女皇故里网站建设</w:t>
            </w:r>
          </w:p>
        </w:tc>
        <w:tc>
          <w:tcPr>
            <w:tcW w:w="5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w:t>
            </w:r>
          </w:p>
        </w:tc>
        <w:tc>
          <w:tcPr>
            <w:tcW w:w="10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1280</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w:t>
            </w:r>
          </w:p>
        </w:tc>
        <w:tc>
          <w:tcPr>
            <w:tcW w:w="152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效果指标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达到（广文旅产领办发【2014】14号）文件要求</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高中低</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信息化系统维修维护费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效益指标</w:t>
            </w: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可持续发展指标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逐年完善，不断提升景区智慧化水平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高中低</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0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服务对象满意度指标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方便游客，得到智慧化体验，提升满意度</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306" w:hRule="atLeast"/>
          <w:jc w:val="center"/>
        </w:trPr>
        <w:tc>
          <w:tcPr>
            <w:tcW w:w="70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结合自评情况，项目自评总分9</w:t>
            </w:r>
            <w:r>
              <w:rPr>
                <w:rFonts w:hint="eastAsia" w:ascii="微软雅黑" w:hAnsi="微软雅黑" w:eastAsia="微软雅黑" w:cs="微软雅黑"/>
                <w:color w:val="000000"/>
                <w:kern w:val="0"/>
                <w:sz w:val="16"/>
                <w:szCs w:val="16"/>
                <w:lang w:val="en-US" w:eastAsia="zh-CN"/>
              </w:rPr>
              <w:t>0</w:t>
            </w:r>
            <w:r>
              <w:rPr>
                <w:rFonts w:hint="eastAsia" w:ascii="微软雅黑" w:hAnsi="微软雅黑" w:eastAsia="微软雅黑" w:cs="微软雅黑"/>
                <w:color w:val="000000"/>
                <w:kern w:val="0"/>
                <w:sz w:val="16"/>
                <w:szCs w:val="16"/>
              </w:rPr>
              <w:t>分，严格按照绩效管理办法执行，确保博物馆</w:t>
            </w:r>
            <w:r>
              <w:rPr>
                <w:rFonts w:hint="eastAsia" w:ascii="微软雅黑" w:hAnsi="微软雅黑" w:eastAsia="微软雅黑" w:cs="微软雅黑"/>
                <w:color w:val="000000"/>
                <w:kern w:val="0"/>
                <w:sz w:val="16"/>
                <w:szCs w:val="16"/>
                <w:lang w:eastAsia="zh-CN"/>
              </w:rPr>
              <w:t>信息化建设</w:t>
            </w:r>
            <w:r>
              <w:rPr>
                <w:rFonts w:hint="eastAsia" w:ascii="微软雅黑" w:hAnsi="微软雅黑" w:eastAsia="微软雅黑" w:cs="微软雅黑"/>
                <w:color w:val="000000"/>
                <w:kern w:val="0"/>
                <w:sz w:val="16"/>
                <w:szCs w:val="16"/>
              </w:rPr>
              <w:t>工作有序进行，为观众提供优质服务，推动博物馆事业发展，不断满足人民群众对文化的需求，不断传承广元悠久历史文化。</w:t>
            </w: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加强绩效管理，提高绩效管理水平，进一步规范绩效目标编制。一是组织预算绩效管理相关培训，提高人员绩效管理水平。二是对项目绩效目标和指标目标设置的科学性、合理性和规范性。</w:t>
            </w:r>
          </w:p>
        </w:tc>
      </w:tr>
      <w:tr>
        <w:tblPrEx>
          <w:tblCellMar>
            <w:top w:w="0" w:type="dxa"/>
            <w:left w:w="108" w:type="dxa"/>
            <w:bottom w:w="0" w:type="dxa"/>
            <w:right w:w="108" w:type="dxa"/>
          </w:tblCellMar>
        </w:tblPrEx>
        <w:trPr>
          <w:trHeight w:val="600" w:hRule="atLeast"/>
          <w:jc w:val="center"/>
        </w:trPr>
        <w:tc>
          <w:tcPr>
            <w:tcW w:w="48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63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Lines="0" w:line="576" w:lineRule="exact"/>
        <w:rPr>
          <w:rFonts w:ascii="黑体" w:hAnsi="黑体" w:eastAsia="黑体" w:cs="黑体"/>
          <w:sz w:val="32"/>
          <w:szCs w:val="32"/>
        </w:rPr>
      </w:pPr>
    </w:p>
    <w:p>
      <w:pPr>
        <w:spacing w:line="576" w:lineRule="exact"/>
        <w:ind w:firstLine="880" w:firstLineChars="200"/>
        <w:jc w:val="center"/>
        <w:outlineLvl w:val="0"/>
        <w:rPr>
          <w:rFonts w:ascii="黑体" w:hAnsi="黑体" w:eastAsia="黑体"/>
          <w:sz w:val="44"/>
          <w:szCs w:val="44"/>
        </w:rPr>
      </w:pPr>
    </w:p>
    <w:p>
      <w:pPr>
        <w:spacing w:line="576" w:lineRule="exact"/>
        <w:ind w:firstLine="880" w:firstLineChars="200"/>
        <w:jc w:val="center"/>
        <w:outlineLvl w:val="0"/>
        <w:rPr>
          <w:rFonts w:ascii="黑体" w:hAnsi="黑体" w:eastAsia="黑体"/>
          <w:sz w:val="44"/>
          <w:szCs w:val="44"/>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eastAsia" w:ascii="黑体" w:hAnsi="黑体" w:eastAsia="黑体" w:cs="黑体"/>
          <w:sz w:val="32"/>
          <w:szCs w:val="32"/>
        </w:rPr>
      </w:pPr>
    </w:p>
    <w:p>
      <w:pPr>
        <w:pStyle w:val="2"/>
        <w:spacing w:beforeLines="0" w:line="576"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pStyle w:val="2"/>
        <w:spacing w:beforeLines="0" w:line="576" w:lineRule="exact"/>
        <w:rPr>
          <w:rFonts w:ascii="黑体" w:hAnsi="黑体" w:eastAsia="黑体" w:cs="黑体"/>
          <w:sz w:val="32"/>
          <w:szCs w:val="32"/>
        </w:rPr>
      </w:pPr>
    </w:p>
    <w:tbl>
      <w:tblPr>
        <w:tblStyle w:val="12"/>
        <w:tblW w:w="9500" w:type="dxa"/>
        <w:jc w:val="center"/>
        <w:tblLayout w:type="autofit"/>
        <w:tblCellMar>
          <w:top w:w="0" w:type="dxa"/>
          <w:left w:w="108" w:type="dxa"/>
          <w:bottom w:w="0" w:type="dxa"/>
          <w:right w:w="108" w:type="dxa"/>
        </w:tblCellMar>
      </w:tblPr>
      <w:tblGrid>
        <w:gridCol w:w="576"/>
        <w:gridCol w:w="1236"/>
        <w:gridCol w:w="1082"/>
        <w:gridCol w:w="1392"/>
        <w:gridCol w:w="576"/>
        <w:gridCol w:w="1058"/>
        <w:gridCol w:w="396"/>
        <w:gridCol w:w="773"/>
        <w:gridCol w:w="306"/>
        <w:gridCol w:w="180"/>
        <w:gridCol w:w="396"/>
        <w:gridCol w:w="1529"/>
      </w:tblGrid>
      <w:tr>
        <w:tblPrEx>
          <w:tblCellMar>
            <w:top w:w="0" w:type="dxa"/>
            <w:left w:w="108" w:type="dxa"/>
            <w:bottom w:w="0" w:type="dxa"/>
            <w:right w:w="108" w:type="dxa"/>
          </w:tblCellMar>
        </w:tblPrEx>
        <w:trPr>
          <w:trHeight w:val="601" w:hRule="atLeast"/>
          <w:jc w:val="center"/>
        </w:trPr>
        <w:tc>
          <w:tcPr>
            <w:tcW w:w="9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306" w:hRule="atLeast"/>
          <w:jc w:val="center"/>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b/>
                <w:bCs/>
                <w:color w:val="000000"/>
                <w:kern w:val="0"/>
                <w:sz w:val="18"/>
                <w:szCs w:val="18"/>
              </w:rPr>
              <w:t>51080022T000006786643</w:t>
            </w:r>
            <w:r>
              <w:rPr>
                <w:rFonts w:ascii="宋体" w:hAnsi="宋体" w:cs="宋体"/>
                <w:color w:val="000000"/>
                <w:kern w:val="0"/>
                <w:sz w:val="18"/>
                <w:szCs w:val="18"/>
              </w:rPr>
              <w:t>-</w:t>
            </w:r>
            <w:r>
              <w:rPr>
                <w:rStyle w:val="32"/>
                <w:lang w:val="en-US" w:eastAsia="zh-CN" w:bidi="ar"/>
              </w:rPr>
              <w:t>皇泽寺博物馆乡村振兴工作经费</w:t>
            </w:r>
          </w:p>
        </w:tc>
      </w:tr>
      <w:tr>
        <w:tblPrEx>
          <w:tblCellMar>
            <w:top w:w="0" w:type="dxa"/>
            <w:left w:w="108" w:type="dxa"/>
            <w:bottom w:w="0" w:type="dxa"/>
            <w:right w:w="108" w:type="dxa"/>
          </w:tblCellMar>
        </w:tblPrEx>
        <w:trPr>
          <w:trHeight w:val="727" w:hRule="atLeast"/>
          <w:jc w:val="center"/>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79" w:type="dxa"/>
            <w:gridSpan w:val="2"/>
            <w:tcBorders>
              <w:top w:val="nil"/>
              <w:left w:val="nil"/>
              <w:bottom w:val="nil"/>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实施单位</w:t>
            </w:r>
          </w:p>
        </w:tc>
        <w:tc>
          <w:tcPr>
            <w:tcW w:w="21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p>
        </w:tc>
      </w:tr>
      <w:tr>
        <w:tblPrEx>
          <w:tblCellMar>
            <w:top w:w="0" w:type="dxa"/>
            <w:left w:w="108" w:type="dxa"/>
            <w:bottom w:w="0" w:type="dxa"/>
            <w:right w:w="108" w:type="dxa"/>
          </w:tblCellMar>
        </w:tblPrEx>
        <w:trPr>
          <w:trHeight w:val="30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193"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2"/>
                <w:lang w:val="en-US" w:eastAsia="zh-CN" w:bidi="ar"/>
              </w:rPr>
              <w:t>驻村工作队队员生活补助及零星办公经费</w:t>
            </w:r>
          </w:p>
        </w:tc>
        <w:tc>
          <w:tcPr>
            <w:tcW w:w="3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Style w:val="32"/>
                <w:lang w:val="en-US" w:eastAsia="zh-CN" w:bidi="ar"/>
              </w:rPr>
              <w:t>驻村工作队队员生活补助及零星办公经费</w:t>
            </w:r>
          </w:p>
        </w:tc>
      </w:tr>
      <w:tr>
        <w:tblPrEx>
          <w:tblCellMar>
            <w:top w:w="0" w:type="dxa"/>
            <w:left w:w="108" w:type="dxa"/>
            <w:bottom w:w="0" w:type="dxa"/>
            <w:right w:w="108" w:type="dxa"/>
          </w:tblCellMar>
        </w:tblPrEx>
        <w:trPr>
          <w:trHeight w:val="89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全部用于</w:t>
            </w: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r>
              <w:rPr>
                <w:rStyle w:val="32"/>
                <w:lang w:val="en-US" w:eastAsia="zh-CN" w:bidi="ar"/>
              </w:rPr>
              <w:t>驻村工作队队员生活补助及零星办公经费</w:t>
            </w:r>
          </w:p>
        </w:tc>
      </w:tr>
      <w:tr>
        <w:tblPrEx>
          <w:tblCellMar>
            <w:top w:w="0" w:type="dxa"/>
            <w:left w:w="108" w:type="dxa"/>
            <w:bottom w:w="0" w:type="dxa"/>
            <w:right w:w="108" w:type="dxa"/>
          </w:tblCellMar>
        </w:tblPrEx>
        <w:trPr>
          <w:trHeight w:val="601"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48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lang w:val="en-US"/>
              </w:rPr>
            </w:pPr>
            <w:r>
              <w:rPr>
                <w:rFonts w:hint="eastAsia" w:ascii="宋体" w:hAnsi="宋体" w:cs="宋体"/>
                <w:i w:val="0"/>
                <w:iCs w:val="0"/>
                <w:color w:val="000000"/>
                <w:kern w:val="0"/>
                <w:sz w:val="18"/>
                <w:szCs w:val="18"/>
                <w:u w:val="none"/>
                <w:lang w:val="en-US" w:eastAsia="zh-CN" w:bidi="ar"/>
              </w:rPr>
              <w:t>1.82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i w:val="0"/>
                <w:iCs w:val="0"/>
                <w:color w:val="000000"/>
                <w:kern w:val="0"/>
                <w:sz w:val="18"/>
                <w:szCs w:val="18"/>
                <w:u w:val="none"/>
                <w:lang w:val="en-US" w:eastAsia="zh-CN" w:bidi="ar"/>
              </w:rPr>
              <w:t>1.82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ascii="宋体" w:hAnsi="宋体" w:cs="宋体"/>
                <w:color w:val="000000"/>
                <w:kern w:val="0"/>
                <w:sz w:val="18"/>
                <w:szCs w:val="18"/>
              </w:rPr>
              <w:t>%</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i w:val="0"/>
                <w:iCs w:val="0"/>
                <w:color w:val="000000"/>
                <w:kern w:val="0"/>
                <w:sz w:val="18"/>
                <w:szCs w:val="18"/>
                <w:u w:val="none"/>
                <w:lang w:val="en-US" w:eastAsia="zh-CN" w:bidi="ar"/>
              </w:rPr>
              <w:t>1.82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i w:val="0"/>
                <w:iCs w:val="0"/>
                <w:color w:val="000000"/>
                <w:kern w:val="0"/>
                <w:sz w:val="18"/>
                <w:szCs w:val="18"/>
                <w:u w:val="none"/>
                <w:lang w:val="en-US" w:eastAsia="zh-CN" w:bidi="ar"/>
              </w:rPr>
              <w:t>1.82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ascii="宋体" w:hAnsi="宋体" w:cs="宋体"/>
                <w:color w:val="000000"/>
                <w:kern w:val="0"/>
                <w:sz w:val="18"/>
                <w:szCs w:val="18"/>
              </w:rPr>
              <w:t>%</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8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74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19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104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质量指标</w:t>
            </w:r>
          </w:p>
        </w:tc>
        <w:tc>
          <w:tcPr>
            <w:tcW w:w="13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驻村工作队队员生活补助及零星办公经费</w:t>
            </w:r>
          </w:p>
        </w:tc>
        <w:tc>
          <w:tcPr>
            <w:tcW w:w="5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定性</w:t>
            </w:r>
          </w:p>
        </w:tc>
        <w:tc>
          <w:tcPr>
            <w:tcW w:w="10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优良中低差</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元</w:t>
            </w:r>
          </w:p>
        </w:tc>
        <w:tc>
          <w:tcPr>
            <w:tcW w:w="77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20</w:t>
            </w:r>
          </w:p>
        </w:tc>
        <w:tc>
          <w:tcPr>
            <w:tcW w:w="48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152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成本指标</w:t>
            </w:r>
          </w:p>
        </w:tc>
        <w:tc>
          <w:tcPr>
            <w:tcW w:w="13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驻村工作队队员生活补助</w:t>
            </w:r>
          </w:p>
        </w:tc>
        <w:tc>
          <w:tcPr>
            <w:tcW w:w="5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w:t>
            </w:r>
          </w:p>
        </w:tc>
        <w:tc>
          <w:tcPr>
            <w:tcW w:w="10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13200</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元/年</w:t>
            </w:r>
          </w:p>
        </w:tc>
        <w:tc>
          <w:tcPr>
            <w:tcW w:w="7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48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152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数量指标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驻村工作队队员人数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人数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成本指标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工作经费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元/年</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0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帮扶对象满意度指标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帮扶对象满意度</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Style w:val="32"/>
                <w:lang w:val="en-US" w:eastAsia="zh-CN" w:bidi="ar"/>
              </w:rPr>
              <w:t>≥</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color w:val="000000"/>
                <w:sz w:val="16"/>
                <w:szCs w:val="16"/>
              </w:rPr>
            </w:pPr>
            <w:r>
              <w:rPr>
                <w:rFonts w:hint="eastAsia" w:ascii="宋体" w:hAnsi="宋体" w:eastAsia="宋体" w:cs="宋体"/>
                <w:i w:val="0"/>
                <w:iCs w:val="0"/>
                <w:color w:val="000000"/>
                <w:kern w:val="0"/>
                <w:sz w:val="18"/>
                <w:szCs w:val="18"/>
                <w:u w:val="none"/>
                <w:lang w:val="en-US" w:eastAsia="zh-CN" w:bidi="ar"/>
              </w:rPr>
              <w:t>20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Style w:val="32"/>
                <w:lang w:val="en-US" w:eastAsia="zh-CN" w:bidi="ar"/>
              </w:rPr>
              <w:t>效益指标</w:t>
            </w:r>
          </w:p>
        </w:tc>
        <w:tc>
          <w:tcPr>
            <w:tcW w:w="10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社会效益指标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集体经济收入</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2"/>
                <w:lang w:val="en-US" w:eastAsia="zh-CN" w:bidi="ar"/>
              </w:rPr>
              <w:t>≥</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正向指标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306" w:hRule="atLeast"/>
          <w:jc w:val="center"/>
        </w:trPr>
        <w:tc>
          <w:tcPr>
            <w:tcW w:w="70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宋体" w:cs="微软雅黑"/>
                <w:color w:val="000000"/>
                <w:sz w:val="16"/>
                <w:szCs w:val="16"/>
                <w:lang w:eastAsia="zh-CN"/>
              </w:rPr>
            </w:pPr>
            <w:r>
              <w:rPr>
                <w:rFonts w:hint="eastAsia" w:ascii="微软雅黑" w:hAnsi="微软雅黑" w:eastAsia="微软雅黑" w:cs="微软雅黑"/>
                <w:color w:val="000000"/>
                <w:kern w:val="0"/>
                <w:sz w:val="16"/>
                <w:szCs w:val="16"/>
              </w:rPr>
              <w:t>结合自评情况，项目自评总分9</w:t>
            </w:r>
            <w:r>
              <w:rPr>
                <w:rFonts w:hint="eastAsia" w:ascii="微软雅黑" w:hAnsi="微软雅黑" w:eastAsia="微软雅黑" w:cs="微软雅黑"/>
                <w:color w:val="000000"/>
                <w:kern w:val="0"/>
                <w:sz w:val="16"/>
                <w:szCs w:val="16"/>
                <w:lang w:val="en-US" w:eastAsia="zh-CN"/>
              </w:rPr>
              <w:t>0</w:t>
            </w:r>
            <w:r>
              <w:rPr>
                <w:rFonts w:hint="eastAsia" w:ascii="微软雅黑" w:hAnsi="微软雅黑" w:eastAsia="微软雅黑" w:cs="微软雅黑"/>
                <w:color w:val="000000"/>
                <w:kern w:val="0"/>
                <w:sz w:val="16"/>
                <w:szCs w:val="16"/>
              </w:rPr>
              <w:t>分，严格按照绩效管理办法执行，确保</w:t>
            </w:r>
            <w:r>
              <w:rPr>
                <w:rFonts w:ascii="宋体" w:hAnsi="宋体" w:cs="宋体"/>
                <w:color w:val="000000"/>
                <w:kern w:val="0"/>
                <w:sz w:val="18"/>
                <w:szCs w:val="18"/>
              </w:rPr>
              <w:t>全部用于</w:t>
            </w:r>
            <w:r>
              <w:rPr>
                <w:rFonts w:hint="eastAsia" w:ascii="宋体" w:hAnsi="宋体" w:cs="宋体"/>
                <w:color w:val="000000"/>
                <w:kern w:val="0"/>
                <w:sz w:val="18"/>
                <w:szCs w:val="18"/>
                <w:lang w:eastAsia="zh-CN"/>
              </w:rPr>
              <w:t>皇泽寺</w:t>
            </w:r>
            <w:r>
              <w:rPr>
                <w:rFonts w:ascii="宋体" w:hAnsi="宋体" w:cs="宋体"/>
                <w:color w:val="000000"/>
                <w:kern w:val="0"/>
                <w:sz w:val="18"/>
                <w:szCs w:val="18"/>
              </w:rPr>
              <w:t>博物馆</w:t>
            </w:r>
            <w:r>
              <w:rPr>
                <w:rStyle w:val="32"/>
                <w:lang w:val="en-US" w:eastAsia="zh-CN" w:bidi="ar"/>
              </w:rPr>
              <w:t>驻村工作队队员生活补助及零星办公经费。</w:t>
            </w: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加强绩效管理，提高绩效管理水平，进一步规范绩效目标编制。一是组织预算绩效管理相关培训，提高人员绩效管理水平。二是对项目绩效目标和指标目标设置的科学性、合理性和规范性。</w:t>
            </w:r>
          </w:p>
        </w:tc>
      </w:tr>
      <w:tr>
        <w:tblPrEx>
          <w:tblCellMar>
            <w:top w:w="0" w:type="dxa"/>
            <w:left w:w="108" w:type="dxa"/>
            <w:bottom w:w="0" w:type="dxa"/>
            <w:right w:w="108" w:type="dxa"/>
          </w:tblCellMar>
        </w:tblPrEx>
        <w:trPr>
          <w:trHeight w:val="600" w:hRule="atLeast"/>
          <w:jc w:val="center"/>
        </w:trPr>
        <w:tc>
          <w:tcPr>
            <w:tcW w:w="48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黑体" w:hAnsi="黑体" w:eastAsia="黑体" w:cs="黑体"/>
                <w:color w:val="000000"/>
                <w:sz w:val="18"/>
                <w:szCs w:val="18"/>
                <w:lang w:eastAsia="zh-CN"/>
              </w:rPr>
            </w:pPr>
            <w:r>
              <w:rPr>
                <w:rFonts w:hint="eastAsia" w:ascii="黑体" w:hAnsi="黑体" w:eastAsia="黑体" w:cs="黑体"/>
                <w:color w:val="000000"/>
                <w:kern w:val="0"/>
                <w:sz w:val="18"/>
                <w:szCs w:val="18"/>
              </w:rPr>
              <w:t>项目负责人：</w:t>
            </w:r>
            <w:r>
              <w:rPr>
                <w:rFonts w:hint="eastAsia" w:ascii="黑体" w:hAnsi="黑体" w:eastAsia="黑体" w:cs="黑体"/>
                <w:color w:val="000000"/>
                <w:kern w:val="0"/>
                <w:sz w:val="18"/>
                <w:szCs w:val="18"/>
                <w:lang w:eastAsia="zh-CN"/>
              </w:rPr>
              <w:t>何光远</w:t>
            </w:r>
          </w:p>
        </w:tc>
        <w:tc>
          <w:tcPr>
            <w:tcW w:w="463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w:t>
            </w:r>
            <w:r>
              <w:rPr>
                <w:rFonts w:hint="eastAsia" w:ascii="黑体" w:hAnsi="黑体" w:eastAsia="黑体" w:cs="黑体"/>
                <w:b w:val="0"/>
                <w:bCs w:val="0"/>
                <w:color w:val="000000"/>
                <w:kern w:val="0"/>
                <w:sz w:val="18"/>
                <w:szCs w:val="18"/>
                <w:lang w:eastAsia="zh-CN"/>
              </w:rPr>
              <w:t>李映龙</w:t>
            </w:r>
          </w:p>
        </w:tc>
      </w:tr>
    </w:tbl>
    <w:p>
      <w:pPr>
        <w:pStyle w:val="2"/>
        <w:spacing w:beforeLines="0" w:line="576" w:lineRule="exact"/>
        <w:rPr>
          <w:rFonts w:ascii="黑体" w:hAnsi="黑体" w:eastAsia="黑体" w:cs="黑体"/>
          <w:sz w:val="32"/>
          <w:szCs w:val="32"/>
        </w:rPr>
      </w:pPr>
    </w:p>
    <w:p>
      <w:pPr>
        <w:spacing w:line="576" w:lineRule="exact"/>
        <w:ind w:firstLine="880" w:firstLineChars="200"/>
        <w:jc w:val="center"/>
        <w:outlineLvl w:val="0"/>
        <w:rPr>
          <w:rFonts w:ascii="黑体" w:hAnsi="黑体" w:eastAsia="黑体"/>
          <w:sz w:val="44"/>
          <w:szCs w:val="44"/>
        </w:rPr>
      </w:pPr>
    </w:p>
    <w:p>
      <w:pPr>
        <w:spacing w:line="576" w:lineRule="exact"/>
        <w:ind w:firstLine="880" w:firstLineChars="200"/>
        <w:jc w:val="center"/>
        <w:outlineLvl w:val="0"/>
        <w:rPr>
          <w:rFonts w:ascii="黑体" w:hAnsi="黑体" w:eastAsia="黑体"/>
          <w:sz w:val="44"/>
          <w:szCs w:val="44"/>
        </w:rPr>
      </w:pPr>
    </w:p>
    <w:p>
      <w:pPr>
        <w:spacing w:line="576" w:lineRule="exact"/>
        <w:outlineLvl w:val="0"/>
        <w:rPr>
          <w:rFonts w:ascii="黑体" w:hAnsi="黑体" w:eastAsia="黑体"/>
          <w:sz w:val="44"/>
          <w:szCs w:val="44"/>
        </w:rPr>
      </w:pPr>
    </w:p>
    <w:p>
      <w:pPr>
        <w:spacing w:line="576" w:lineRule="exact"/>
        <w:outlineLvl w:val="0"/>
        <w:rPr>
          <w:rFonts w:ascii="黑体" w:hAnsi="黑体" w:eastAsia="黑体"/>
          <w:sz w:val="44"/>
          <w:szCs w:val="44"/>
        </w:rPr>
      </w:pPr>
    </w:p>
    <w:p>
      <w:pPr>
        <w:spacing w:line="576" w:lineRule="exact"/>
        <w:jc w:val="center"/>
        <w:outlineLvl w:val="0"/>
        <w:rPr>
          <w:rFonts w:asciiTheme="majorEastAsia" w:hAnsiTheme="majorEastAsia" w:eastAsiaTheme="majorEastAsia" w:cstheme="majorEastAsia"/>
          <w:b/>
          <w:bCs/>
          <w:sz w:val="44"/>
          <w:szCs w:val="44"/>
        </w:rPr>
      </w:pPr>
    </w:p>
    <w:p>
      <w:pPr>
        <w:spacing w:line="576" w:lineRule="exact"/>
        <w:jc w:val="center"/>
        <w:outlineLvl w:val="0"/>
        <w:rPr>
          <w:rFonts w:asciiTheme="majorEastAsia" w:hAnsiTheme="majorEastAsia" w:eastAsiaTheme="majorEastAsia" w:cstheme="majorEastAsia"/>
          <w:b/>
          <w:bCs/>
          <w:sz w:val="44"/>
          <w:szCs w:val="44"/>
        </w:rPr>
      </w:pPr>
    </w:p>
    <w:p>
      <w:pPr>
        <w:pStyle w:val="2"/>
        <w:numPr>
          <w:ilvl w:val="0"/>
          <w:numId w:val="0"/>
        </w:numPr>
        <w:ind w:leftChars="150"/>
      </w:pPr>
    </w:p>
    <w:p>
      <w:pPr>
        <w:spacing w:line="600" w:lineRule="exact"/>
        <w:ind w:firstLine="3080" w:firstLineChars="700"/>
        <w:jc w:val="both"/>
        <w:outlineLvl w:val="0"/>
        <w:rPr>
          <w:rFonts w:hint="eastAsia" w:ascii="黑体" w:hAnsi="黑体" w:eastAsia="黑体"/>
          <w:color w:val="auto"/>
          <w:sz w:val="44"/>
          <w:szCs w:val="44"/>
          <w:highlight w:val="none"/>
        </w:rPr>
      </w:pPr>
    </w:p>
    <w:p>
      <w:pPr>
        <w:spacing w:line="600" w:lineRule="exact"/>
        <w:ind w:firstLine="3080" w:firstLineChars="700"/>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1" w:name="_Toc223"/>
      <w:r>
        <w:rPr>
          <w:rFonts w:hint="eastAsia" w:ascii="黑体" w:hAnsi="黑体" w:eastAsia="黑体"/>
          <w:color w:val="auto"/>
          <w:sz w:val="44"/>
          <w:szCs w:val="44"/>
          <w:highlight w:val="none"/>
        </w:rPr>
        <w:t>第</w:t>
      </w:r>
      <w:r>
        <w:rPr>
          <w:rStyle w:val="16"/>
          <w:rFonts w:hint="eastAsia" w:ascii="黑体" w:hAnsi="黑体" w:eastAsia="黑体"/>
          <w:b w:val="0"/>
          <w:color w:val="auto"/>
          <w:highlight w:val="none"/>
        </w:rPr>
        <w:t>五部分附表</w:t>
      </w:r>
      <w:bookmarkEnd w:id="78"/>
      <w:bookmarkEnd w:id="80"/>
      <w:bookmarkEnd w:id="81"/>
      <w:bookmarkStart w:id="82" w:name="_Toc15396619"/>
    </w:p>
    <w:p>
      <w:pPr>
        <w:pStyle w:val="4"/>
        <w:rPr>
          <w:rFonts w:ascii="仿宋" w:hAnsi="仿宋" w:eastAsia="仿宋"/>
          <w:color w:val="auto"/>
          <w:highlight w:val="none"/>
        </w:rPr>
      </w:pPr>
      <w:bookmarkStart w:id="83" w:name="_Toc6158"/>
      <w:r>
        <w:rPr>
          <w:rFonts w:hint="eastAsia" w:ascii="仿宋" w:hAnsi="仿宋" w:eastAsia="仿宋"/>
          <w:b w:val="0"/>
          <w:color w:val="auto"/>
          <w:highlight w:val="none"/>
        </w:rPr>
        <w:t>一、收</w:t>
      </w:r>
      <w:r>
        <w:rPr>
          <w:rStyle w:val="17"/>
          <w:rFonts w:hint="eastAsia" w:ascii="仿宋" w:hAnsi="仿宋" w:eastAsia="仿宋"/>
          <w:b w:val="0"/>
          <w:bCs w:val="0"/>
          <w:color w:val="auto"/>
          <w:highlight w:val="none"/>
        </w:rPr>
        <w:t>入支出决算总表</w:t>
      </w:r>
      <w:bookmarkEnd w:id="82"/>
      <w:bookmarkEnd w:id="83"/>
    </w:p>
    <w:p>
      <w:pPr>
        <w:pStyle w:val="4"/>
        <w:rPr>
          <w:rFonts w:ascii="仿宋" w:hAnsi="仿宋" w:eastAsia="仿宋"/>
          <w:color w:val="auto"/>
          <w:highlight w:val="none"/>
        </w:rPr>
      </w:pPr>
      <w:bookmarkStart w:id="84" w:name="_Toc15396620"/>
      <w:bookmarkStart w:id="85" w:name="_Toc12575"/>
      <w:r>
        <w:rPr>
          <w:rFonts w:hint="eastAsia" w:ascii="仿宋" w:hAnsi="仿宋" w:eastAsia="仿宋"/>
          <w:b w:val="0"/>
          <w:color w:val="auto"/>
          <w:highlight w:val="none"/>
        </w:rPr>
        <w:t>二、收</w:t>
      </w:r>
      <w:r>
        <w:rPr>
          <w:rStyle w:val="17"/>
          <w:rFonts w:hint="eastAsia" w:ascii="仿宋" w:hAnsi="仿宋" w:eastAsia="仿宋"/>
          <w:b w:val="0"/>
          <w:bCs w:val="0"/>
          <w:color w:val="auto"/>
          <w:highlight w:val="none"/>
        </w:rPr>
        <w:t>入决算表</w:t>
      </w:r>
      <w:bookmarkEnd w:id="84"/>
      <w:bookmarkEnd w:id="85"/>
    </w:p>
    <w:p>
      <w:pPr>
        <w:pStyle w:val="4"/>
        <w:rPr>
          <w:rFonts w:ascii="仿宋" w:hAnsi="仿宋" w:eastAsia="仿宋"/>
          <w:color w:val="auto"/>
          <w:highlight w:val="none"/>
        </w:rPr>
      </w:pPr>
      <w:bookmarkStart w:id="86" w:name="_Toc15396621"/>
      <w:bookmarkStart w:id="87" w:name="_Toc2880"/>
      <w:r>
        <w:rPr>
          <w:rStyle w:val="1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17"/>
          <w:rFonts w:hint="eastAsia" w:ascii="仿宋" w:hAnsi="仿宋" w:eastAsia="仿宋"/>
          <w:b w:val="0"/>
          <w:bCs w:val="0"/>
          <w:color w:val="auto"/>
          <w:highlight w:val="none"/>
        </w:rPr>
        <w:t>出决算表</w:t>
      </w:r>
      <w:bookmarkEnd w:id="86"/>
      <w:bookmarkEnd w:id="87"/>
    </w:p>
    <w:p>
      <w:pPr>
        <w:pStyle w:val="4"/>
        <w:rPr>
          <w:rFonts w:ascii="仿宋" w:hAnsi="仿宋" w:eastAsia="仿宋"/>
          <w:b w:val="0"/>
          <w:color w:val="auto"/>
          <w:highlight w:val="none"/>
        </w:rPr>
      </w:pPr>
      <w:bookmarkStart w:id="88" w:name="_Toc2384"/>
      <w:bookmarkStart w:id="89" w:name="_Toc15396622"/>
      <w:r>
        <w:rPr>
          <w:rStyle w:val="1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17"/>
          <w:rFonts w:hint="eastAsia" w:ascii="仿宋" w:hAnsi="仿宋" w:eastAsia="仿宋"/>
          <w:b w:val="0"/>
          <w:bCs w:val="0"/>
          <w:color w:val="auto"/>
          <w:highlight w:val="none"/>
        </w:rPr>
        <w:t>政拨款收入支出决算总表</w:t>
      </w:r>
      <w:bookmarkEnd w:id="88"/>
      <w:bookmarkEnd w:id="89"/>
    </w:p>
    <w:p>
      <w:pPr>
        <w:pStyle w:val="4"/>
        <w:rPr>
          <w:rStyle w:val="17"/>
          <w:rFonts w:ascii="仿宋" w:hAnsi="仿宋" w:eastAsia="仿宋"/>
          <w:b w:val="0"/>
          <w:bCs w:val="0"/>
          <w:color w:val="auto"/>
          <w:highlight w:val="none"/>
        </w:rPr>
      </w:pPr>
      <w:bookmarkStart w:id="90" w:name="_Toc15396623"/>
      <w:bookmarkStart w:id="91" w:name="_Toc13430"/>
      <w:r>
        <w:rPr>
          <w:rStyle w:val="1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17"/>
          <w:rFonts w:hint="eastAsia" w:ascii="仿宋" w:hAnsi="仿宋" w:eastAsia="仿宋"/>
          <w:b w:val="0"/>
          <w:bCs w:val="0"/>
          <w:color w:val="auto"/>
          <w:highlight w:val="none"/>
        </w:rPr>
        <w:t>政拨款支出决算明细表</w:t>
      </w:r>
      <w:bookmarkEnd w:id="90"/>
      <w:bookmarkEnd w:id="91"/>
      <w:bookmarkStart w:id="92" w:name="_Toc15396624"/>
    </w:p>
    <w:p>
      <w:pPr>
        <w:pStyle w:val="4"/>
        <w:rPr>
          <w:rFonts w:ascii="仿宋" w:hAnsi="仿宋" w:eastAsia="仿宋"/>
          <w:color w:val="auto"/>
          <w:highlight w:val="none"/>
        </w:rPr>
      </w:pPr>
      <w:bookmarkStart w:id="93" w:name="_Toc8944"/>
      <w:r>
        <w:rPr>
          <w:rStyle w:val="1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般公共预算财政拨款支出决算表</w:t>
      </w:r>
      <w:bookmarkEnd w:id="92"/>
      <w:bookmarkEnd w:id="93"/>
    </w:p>
    <w:p>
      <w:pPr>
        <w:pStyle w:val="4"/>
        <w:rPr>
          <w:rFonts w:ascii="仿宋" w:hAnsi="仿宋" w:eastAsia="仿宋"/>
          <w:color w:val="auto"/>
          <w:highlight w:val="none"/>
        </w:rPr>
      </w:pPr>
      <w:bookmarkStart w:id="94" w:name="_Toc15396625"/>
      <w:bookmarkStart w:id="95" w:name="_Toc10227"/>
      <w:r>
        <w:rPr>
          <w:rStyle w:val="1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般公共预算财政拨款支出决算明细表</w:t>
      </w:r>
      <w:bookmarkEnd w:id="94"/>
      <w:bookmarkEnd w:id="95"/>
    </w:p>
    <w:p>
      <w:pPr>
        <w:pStyle w:val="4"/>
        <w:rPr>
          <w:rFonts w:ascii="仿宋" w:hAnsi="仿宋" w:eastAsia="仿宋"/>
          <w:color w:val="auto"/>
          <w:highlight w:val="none"/>
        </w:rPr>
      </w:pPr>
      <w:bookmarkStart w:id="96" w:name="_Toc15396626"/>
      <w:bookmarkStart w:id="97" w:name="_Toc1797"/>
      <w:r>
        <w:rPr>
          <w:rStyle w:val="1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般公共预算财政拨款基本支出决算表</w:t>
      </w:r>
      <w:bookmarkEnd w:id="96"/>
      <w:bookmarkEnd w:id="97"/>
    </w:p>
    <w:p>
      <w:pPr>
        <w:pStyle w:val="4"/>
        <w:rPr>
          <w:rFonts w:ascii="仿宋" w:hAnsi="仿宋" w:eastAsia="仿宋"/>
          <w:color w:val="auto"/>
          <w:highlight w:val="none"/>
        </w:rPr>
      </w:pPr>
      <w:bookmarkStart w:id="98" w:name="_Toc15396627"/>
      <w:bookmarkStart w:id="99" w:name="_Toc16682"/>
      <w:r>
        <w:rPr>
          <w:rStyle w:val="1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般公共预算财政拨款项目支出决算表</w:t>
      </w:r>
      <w:bookmarkEnd w:id="98"/>
      <w:bookmarkEnd w:id="99"/>
    </w:p>
    <w:p>
      <w:pPr>
        <w:pStyle w:val="4"/>
        <w:rPr>
          <w:rFonts w:ascii="仿宋" w:hAnsi="仿宋" w:eastAsia="仿宋"/>
          <w:color w:val="auto"/>
          <w:highlight w:val="none"/>
        </w:rPr>
      </w:pPr>
      <w:bookmarkStart w:id="100" w:name="_Toc15396628"/>
      <w:bookmarkStart w:id="101" w:name="_Toc26525"/>
      <w:r>
        <w:rPr>
          <w:rStyle w:val="17"/>
          <w:rFonts w:hint="eastAsia" w:ascii="仿宋" w:hAnsi="仿宋" w:eastAsia="仿宋"/>
          <w:b w:val="0"/>
          <w:bCs w:val="0"/>
          <w:color w:val="auto"/>
          <w:highlight w:val="none"/>
        </w:rPr>
        <w:t>十、</w:t>
      </w:r>
      <w:bookmarkEnd w:id="100"/>
      <w:r>
        <w:rPr>
          <w:rFonts w:hint="eastAsia" w:ascii="仿宋" w:hAnsi="仿宋" w:eastAsia="仿宋"/>
          <w:b w:val="0"/>
          <w:color w:val="auto"/>
          <w:highlight w:val="none"/>
        </w:rPr>
        <w:t>政</w:t>
      </w:r>
      <w:r>
        <w:rPr>
          <w:rStyle w:val="17"/>
          <w:rFonts w:hint="eastAsia" w:ascii="仿宋" w:hAnsi="仿宋" w:eastAsia="仿宋"/>
          <w:b w:val="0"/>
          <w:bCs w:val="0"/>
          <w:color w:val="auto"/>
          <w:highlight w:val="none"/>
        </w:rPr>
        <w:t>府性基金预算财政拨款收入支出决算表</w:t>
      </w:r>
      <w:bookmarkEnd w:id="101"/>
    </w:p>
    <w:p>
      <w:pPr>
        <w:pStyle w:val="4"/>
        <w:rPr>
          <w:rFonts w:ascii="仿宋" w:hAnsi="仿宋" w:eastAsia="仿宋"/>
          <w:color w:val="auto"/>
          <w:highlight w:val="none"/>
        </w:rPr>
      </w:pPr>
      <w:bookmarkStart w:id="102" w:name="_Toc15396629"/>
      <w:bookmarkStart w:id="103" w:name="_Toc9421"/>
      <w:r>
        <w:rPr>
          <w:rStyle w:val="17"/>
          <w:rFonts w:hint="eastAsia" w:ascii="仿宋" w:hAnsi="仿宋" w:eastAsia="仿宋"/>
          <w:b w:val="0"/>
          <w:bCs w:val="0"/>
          <w:color w:val="auto"/>
          <w:highlight w:val="none"/>
        </w:rPr>
        <w:t>十一、</w:t>
      </w:r>
      <w:bookmarkEnd w:id="102"/>
      <w:r>
        <w:rPr>
          <w:rFonts w:hint="eastAsia" w:ascii="仿宋" w:hAnsi="仿宋" w:eastAsia="仿宋"/>
          <w:b w:val="0"/>
          <w:color w:val="auto"/>
          <w:highlight w:val="none"/>
        </w:rPr>
        <w:t>国</w:t>
      </w:r>
      <w:r>
        <w:rPr>
          <w:rStyle w:val="17"/>
          <w:rFonts w:hint="eastAsia" w:ascii="仿宋" w:hAnsi="仿宋" w:eastAsia="仿宋"/>
          <w:b w:val="0"/>
          <w:bCs w:val="0"/>
          <w:color w:val="auto"/>
          <w:highlight w:val="none"/>
        </w:rPr>
        <w:t>有资本经营预算</w:t>
      </w:r>
      <w:r>
        <w:rPr>
          <w:rStyle w:val="17"/>
          <w:rFonts w:hint="eastAsia" w:ascii="仿宋" w:hAnsi="仿宋" w:eastAsia="仿宋"/>
          <w:b w:val="0"/>
          <w:bCs w:val="0"/>
          <w:color w:val="auto"/>
          <w:highlight w:val="none"/>
          <w:lang w:eastAsia="zh-CN"/>
        </w:rPr>
        <w:t>财政拨款收入</w:t>
      </w:r>
      <w:r>
        <w:rPr>
          <w:rStyle w:val="17"/>
          <w:rFonts w:hint="eastAsia" w:ascii="仿宋" w:hAnsi="仿宋" w:eastAsia="仿宋"/>
          <w:b w:val="0"/>
          <w:bCs w:val="0"/>
          <w:color w:val="auto"/>
          <w:highlight w:val="none"/>
        </w:rPr>
        <w:t>支出决算表</w:t>
      </w:r>
      <w:bookmarkEnd w:id="103"/>
    </w:p>
    <w:p>
      <w:pPr>
        <w:pStyle w:val="4"/>
        <w:rPr>
          <w:rFonts w:ascii="仿宋" w:hAnsi="仿宋" w:eastAsia="仿宋"/>
          <w:color w:val="auto"/>
          <w:highlight w:val="none"/>
        </w:rPr>
      </w:pPr>
      <w:bookmarkStart w:id="104" w:name="_Toc15396630"/>
      <w:bookmarkStart w:id="105" w:name="_Toc3601"/>
      <w:r>
        <w:rPr>
          <w:rStyle w:val="17"/>
          <w:rFonts w:hint="eastAsia" w:ascii="仿宋" w:hAnsi="仿宋" w:eastAsia="仿宋"/>
          <w:b w:val="0"/>
          <w:bCs w:val="0"/>
          <w:color w:val="auto"/>
          <w:highlight w:val="none"/>
        </w:rPr>
        <w:t>十二、</w:t>
      </w:r>
      <w:bookmarkEnd w:id="104"/>
      <w:r>
        <w:rPr>
          <w:rStyle w:val="17"/>
          <w:rFonts w:hint="eastAsia" w:ascii="仿宋" w:hAnsi="仿宋" w:eastAsia="仿宋"/>
          <w:b w:val="0"/>
          <w:bCs w:val="0"/>
          <w:color w:val="auto"/>
          <w:highlight w:val="none"/>
          <w:lang w:eastAsia="zh-CN"/>
        </w:rPr>
        <w:t>国有资本经营预算财政拨款支出决算表</w:t>
      </w:r>
      <w:bookmarkEnd w:id="105"/>
    </w:p>
    <w:p>
      <w:pPr>
        <w:pStyle w:val="4"/>
        <w:rPr>
          <w:rFonts w:hint="eastAsia" w:eastAsia="仿宋"/>
          <w:color w:val="auto"/>
          <w:highlight w:val="none"/>
          <w:lang w:eastAsia="zh-CN"/>
        </w:rPr>
      </w:pPr>
      <w:bookmarkStart w:id="106" w:name="_Toc15396631"/>
      <w:bookmarkStart w:id="107" w:name="_Toc6269"/>
      <w:r>
        <w:rPr>
          <w:rStyle w:val="17"/>
          <w:rFonts w:hint="eastAsia" w:ascii="仿宋" w:hAnsi="仿宋" w:eastAsia="仿宋"/>
          <w:b w:val="0"/>
          <w:bCs w:val="0"/>
          <w:color w:val="auto"/>
          <w:highlight w:val="none"/>
        </w:rPr>
        <w:t>十三、</w:t>
      </w:r>
      <w:bookmarkEnd w:id="106"/>
      <w:r>
        <w:rPr>
          <w:rStyle w:val="17"/>
          <w:rFonts w:hint="eastAsia" w:ascii="仿宋" w:hAnsi="仿宋" w:eastAsia="仿宋"/>
          <w:b w:val="0"/>
          <w:bCs w:val="0"/>
          <w:color w:val="auto"/>
          <w:highlight w:val="none"/>
          <w:lang w:eastAsia="zh-CN"/>
        </w:rPr>
        <w:t>财政拨款“三公”经费支出决算表</w:t>
      </w:r>
      <w:bookmarkEnd w:id="107"/>
    </w:p>
    <w:sectPr>
      <w:footerReference r:id="rId5" w:type="firs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632FBDF"/>
    <w:multiLevelType w:val="singleLevel"/>
    <w:tmpl w:val="2632FBDF"/>
    <w:lvl w:ilvl="0" w:tentative="0">
      <w:start w:val="1"/>
      <w:numFmt w:val="decimal"/>
      <w:suff w:val="nothing"/>
      <w:lvlText w:val="%1．"/>
      <w:lvlJc w:val="left"/>
      <w:pPr>
        <w:ind w:left="0" w:firstLine="400"/>
      </w:pPr>
      <w:rPr>
        <w:rFonts w:hint="default"/>
      </w:rPr>
    </w:lvl>
  </w:abstractNum>
  <w:abstractNum w:abstractNumId="4">
    <w:nsid w:val="37BEFC32"/>
    <w:multiLevelType w:val="singleLevel"/>
    <w:tmpl w:val="37BEFC32"/>
    <w:lvl w:ilvl="0" w:tentative="0">
      <w:start w:val="3"/>
      <w:numFmt w:val="decimal"/>
      <w:suff w:val="nothing"/>
      <w:lvlText w:val="%1、"/>
      <w:lvlJc w:val="left"/>
    </w:lvl>
  </w:abstractNum>
  <w:abstractNum w:abstractNumId="5">
    <w:nsid w:val="3818A09A"/>
    <w:multiLevelType w:val="singleLevel"/>
    <w:tmpl w:val="3818A09A"/>
    <w:lvl w:ilvl="0" w:tentative="0">
      <w:start w:val="1"/>
      <w:numFmt w:val="chineseCounting"/>
      <w:suff w:val="nothing"/>
      <w:lvlText w:val="%1、"/>
      <w:lvlJc w:val="left"/>
      <w:rPr>
        <w:rFonts w:hint="eastAsia"/>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Q4NmIxM2U1NTI3ZDU4OWRlMmQyZTE3MWVjMWMifQ=="/>
  </w:docVars>
  <w:rsids>
    <w:rsidRoot w:val="00F1361C"/>
    <w:rsid w:val="000222C6"/>
    <w:rsid w:val="0002549F"/>
    <w:rsid w:val="000468DB"/>
    <w:rsid w:val="00052A18"/>
    <w:rsid w:val="0006487A"/>
    <w:rsid w:val="00065F8F"/>
    <w:rsid w:val="00070A43"/>
    <w:rsid w:val="000768F2"/>
    <w:rsid w:val="0009184B"/>
    <w:rsid w:val="00094236"/>
    <w:rsid w:val="0009593C"/>
    <w:rsid w:val="00097322"/>
    <w:rsid w:val="000A5010"/>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5594"/>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0914"/>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0597"/>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31C3"/>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483"/>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A8B"/>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3C62"/>
    <w:rsid w:val="00CB4E70"/>
    <w:rsid w:val="00CC09B6"/>
    <w:rsid w:val="00CC666F"/>
    <w:rsid w:val="00CD1E3F"/>
    <w:rsid w:val="00CE44F6"/>
    <w:rsid w:val="00CE49DA"/>
    <w:rsid w:val="00CE7B61"/>
    <w:rsid w:val="00D00095"/>
    <w:rsid w:val="00D114F0"/>
    <w:rsid w:val="00D20620"/>
    <w:rsid w:val="00D22621"/>
    <w:rsid w:val="00D254F7"/>
    <w:rsid w:val="00D26091"/>
    <w:rsid w:val="00D2685C"/>
    <w:rsid w:val="00D34E7C"/>
    <w:rsid w:val="00D35489"/>
    <w:rsid w:val="00D36AFE"/>
    <w:rsid w:val="00D51276"/>
    <w:rsid w:val="00D5688F"/>
    <w:rsid w:val="00D7035F"/>
    <w:rsid w:val="00D9012D"/>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4037"/>
    <w:rsid w:val="00FF1E02"/>
    <w:rsid w:val="00FF30B4"/>
    <w:rsid w:val="010D17E7"/>
    <w:rsid w:val="012E59E9"/>
    <w:rsid w:val="01521C8D"/>
    <w:rsid w:val="01585107"/>
    <w:rsid w:val="019657AE"/>
    <w:rsid w:val="019B1886"/>
    <w:rsid w:val="01A111BC"/>
    <w:rsid w:val="01B12F89"/>
    <w:rsid w:val="01B6221C"/>
    <w:rsid w:val="01C25065"/>
    <w:rsid w:val="01DA7A36"/>
    <w:rsid w:val="01E054EB"/>
    <w:rsid w:val="01E52B01"/>
    <w:rsid w:val="01F01BD2"/>
    <w:rsid w:val="02467A44"/>
    <w:rsid w:val="02900CBF"/>
    <w:rsid w:val="02CD3389"/>
    <w:rsid w:val="02E21EBA"/>
    <w:rsid w:val="02EC75E1"/>
    <w:rsid w:val="02ED6112"/>
    <w:rsid w:val="02EE59E6"/>
    <w:rsid w:val="02F65A2E"/>
    <w:rsid w:val="02F92D08"/>
    <w:rsid w:val="03195159"/>
    <w:rsid w:val="031E276F"/>
    <w:rsid w:val="033E7A60"/>
    <w:rsid w:val="03771E7F"/>
    <w:rsid w:val="03773C2D"/>
    <w:rsid w:val="039667A9"/>
    <w:rsid w:val="03B15391"/>
    <w:rsid w:val="03B629A7"/>
    <w:rsid w:val="03B95FF4"/>
    <w:rsid w:val="03CF5817"/>
    <w:rsid w:val="0410030A"/>
    <w:rsid w:val="04351B1E"/>
    <w:rsid w:val="043D09D3"/>
    <w:rsid w:val="046425BE"/>
    <w:rsid w:val="0490144A"/>
    <w:rsid w:val="049C1B9D"/>
    <w:rsid w:val="04CE5ACF"/>
    <w:rsid w:val="050304BB"/>
    <w:rsid w:val="050D7FCC"/>
    <w:rsid w:val="05184F9C"/>
    <w:rsid w:val="051C683A"/>
    <w:rsid w:val="05341DD6"/>
    <w:rsid w:val="053A62B5"/>
    <w:rsid w:val="05467D5B"/>
    <w:rsid w:val="055F2BCB"/>
    <w:rsid w:val="05634469"/>
    <w:rsid w:val="05812B41"/>
    <w:rsid w:val="05C72C4A"/>
    <w:rsid w:val="05CC64B2"/>
    <w:rsid w:val="05D215EF"/>
    <w:rsid w:val="05D37841"/>
    <w:rsid w:val="05E3215D"/>
    <w:rsid w:val="05EC445F"/>
    <w:rsid w:val="05F31C91"/>
    <w:rsid w:val="05F61781"/>
    <w:rsid w:val="06063C31"/>
    <w:rsid w:val="06190FCC"/>
    <w:rsid w:val="062828B4"/>
    <w:rsid w:val="06457347"/>
    <w:rsid w:val="065B7836"/>
    <w:rsid w:val="066C37F1"/>
    <w:rsid w:val="067A5F0E"/>
    <w:rsid w:val="06AC1E40"/>
    <w:rsid w:val="06AD2D10"/>
    <w:rsid w:val="06B56F46"/>
    <w:rsid w:val="06B70F10"/>
    <w:rsid w:val="06B84C89"/>
    <w:rsid w:val="06CE625A"/>
    <w:rsid w:val="06E635A4"/>
    <w:rsid w:val="070B300A"/>
    <w:rsid w:val="07123EA6"/>
    <w:rsid w:val="07126147"/>
    <w:rsid w:val="074958E1"/>
    <w:rsid w:val="074E0064"/>
    <w:rsid w:val="076170CE"/>
    <w:rsid w:val="076F17EB"/>
    <w:rsid w:val="079528D4"/>
    <w:rsid w:val="079923C4"/>
    <w:rsid w:val="079A613C"/>
    <w:rsid w:val="07CE4183"/>
    <w:rsid w:val="07D433FC"/>
    <w:rsid w:val="07ED44BE"/>
    <w:rsid w:val="07F41CF0"/>
    <w:rsid w:val="08092921"/>
    <w:rsid w:val="082D2605"/>
    <w:rsid w:val="085A34EB"/>
    <w:rsid w:val="086F1377"/>
    <w:rsid w:val="08777BCA"/>
    <w:rsid w:val="089236AA"/>
    <w:rsid w:val="08A13C26"/>
    <w:rsid w:val="08B84ACC"/>
    <w:rsid w:val="08D20712"/>
    <w:rsid w:val="08D44DA7"/>
    <w:rsid w:val="08D51B22"/>
    <w:rsid w:val="08D86F1C"/>
    <w:rsid w:val="09187C60"/>
    <w:rsid w:val="09304FAA"/>
    <w:rsid w:val="09320D22"/>
    <w:rsid w:val="0932487E"/>
    <w:rsid w:val="09376339"/>
    <w:rsid w:val="09646EC3"/>
    <w:rsid w:val="096D727E"/>
    <w:rsid w:val="099C263F"/>
    <w:rsid w:val="09B47989"/>
    <w:rsid w:val="09BC05EC"/>
    <w:rsid w:val="09BD3CEE"/>
    <w:rsid w:val="09BF1E8A"/>
    <w:rsid w:val="09F6017C"/>
    <w:rsid w:val="0A2032A3"/>
    <w:rsid w:val="0A454A85"/>
    <w:rsid w:val="0A470827"/>
    <w:rsid w:val="0A4D56E8"/>
    <w:rsid w:val="0A573422"/>
    <w:rsid w:val="0A5D3B7D"/>
    <w:rsid w:val="0A801619"/>
    <w:rsid w:val="0A8F5D00"/>
    <w:rsid w:val="0A9D0800"/>
    <w:rsid w:val="0AC9276D"/>
    <w:rsid w:val="0AE93662"/>
    <w:rsid w:val="0AEB101B"/>
    <w:rsid w:val="0AFF2E86"/>
    <w:rsid w:val="0B154457"/>
    <w:rsid w:val="0B2D5B3C"/>
    <w:rsid w:val="0B352404"/>
    <w:rsid w:val="0B4153D8"/>
    <w:rsid w:val="0B5331D2"/>
    <w:rsid w:val="0B8A37D8"/>
    <w:rsid w:val="0B9B4146"/>
    <w:rsid w:val="0BB53545"/>
    <w:rsid w:val="0BCE4606"/>
    <w:rsid w:val="0BD240F7"/>
    <w:rsid w:val="0C0A0FB9"/>
    <w:rsid w:val="0C1E733C"/>
    <w:rsid w:val="0C606263"/>
    <w:rsid w:val="0C943AA2"/>
    <w:rsid w:val="0CA43CE5"/>
    <w:rsid w:val="0CA66214"/>
    <w:rsid w:val="0CB16402"/>
    <w:rsid w:val="0CEE057D"/>
    <w:rsid w:val="0D0B5B12"/>
    <w:rsid w:val="0D735465"/>
    <w:rsid w:val="0D7731A8"/>
    <w:rsid w:val="0DCD2DC7"/>
    <w:rsid w:val="0DCE08EE"/>
    <w:rsid w:val="0DD63E82"/>
    <w:rsid w:val="0DF95D46"/>
    <w:rsid w:val="0DFA7935"/>
    <w:rsid w:val="0E0F72F2"/>
    <w:rsid w:val="0E2D3866"/>
    <w:rsid w:val="0E4A08BC"/>
    <w:rsid w:val="0E4A0A8E"/>
    <w:rsid w:val="0E71409B"/>
    <w:rsid w:val="0E924011"/>
    <w:rsid w:val="0EAC6E81"/>
    <w:rsid w:val="0EB775D4"/>
    <w:rsid w:val="0ED463D8"/>
    <w:rsid w:val="0ED70C3A"/>
    <w:rsid w:val="0F171711"/>
    <w:rsid w:val="0F381CFB"/>
    <w:rsid w:val="0F3A0931"/>
    <w:rsid w:val="0F576E62"/>
    <w:rsid w:val="0F621C35"/>
    <w:rsid w:val="0F6C03BE"/>
    <w:rsid w:val="0F830F22"/>
    <w:rsid w:val="0F8B118C"/>
    <w:rsid w:val="0FB06444"/>
    <w:rsid w:val="0FE043E9"/>
    <w:rsid w:val="0FF94348"/>
    <w:rsid w:val="101C6228"/>
    <w:rsid w:val="10376C1E"/>
    <w:rsid w:val="10480E2B"/>
    <w:rsid w:val="105A290D"/>
    <w:rsid w:val="10C055FF"/>
    <w:rsid w:val="10C5422A"/>
    <w:rsid w:val="10D91A83"/>
    <w:rsid w:val="10EE73EF"/>
    <w:rsid w:val="10FE1789"/>
    <w:rsid w:val="11001706"/>
    <w:rsid w:val="110A4333"/>
    <w:rsid w:val="110C3C07"/>
    <w:rsid w:val="110E5084"/>
    <w:rsid w:val="111320DA"/>
    <w:rsid w:val="114F61E9"/>
    <w:rsid w:val="11731ED8"/>
    <w:rsid w:val="118107EC"/>
    <w:rsid w:val="118F714F"/>
    <w:rsid w:val="11D24E50"/>
    <w:rsid w:val="11DD6519"/>
    <w:rsid w:val="12105979"/>
    <w:rsid w:val="12107727"/>
    <w:rsid w:val="12111F42"/>
    <w:rsid w:val="12296A3A"/>
    <w:rsid w:val="12443874"/>
    <w:rsid w:val="124A70DD"/>
    <w:rsid w:val="12647A72"/>
    <w:rsid w:val="12661A3D"/>
    <w:rsid w:val="129A03FE"/>
    <w:rsid w:val="129F6619"/>
    <w:rsid w:val="12A762DD"/>
    <w:rsid w:val="12C01C00"/>
    <w:rsid w:val="12ED7A68"/>
    <w:rsid w:val="1332191F"/>
    <w:rsid w:val="13495ABA"/>
    <w:rsid w:val="13530E99"/>
    <w:rsid w:val="135E2714"/>
    <w:rsid w:val="138C54D3"/>
    <w:rsid w:val="139B3968"/>
    <w:rsid w:val="13C16461"/>
    <w:rsid w:val="13C55F7C"/>
    <w:rsid w:val="13F56BD4"/>
    <w:rsid w:val="14184FB8"/>
    <w:rsid w:val="1424570B"/>
    <w:rsid w:val="1433594E"/>
    <w:rsid w:val="14397409"/>
    <w:rsid w:val="14537D9F"/>
    <w:rsid w:val="145F6743"/>
    <w:rsid w:val="14AE3227"/>
    <w:rsid w:val="14C52A4A"/>
    <w:rsid w:val="14CD557A"/>
    <w:rsid w:val="14FA14F9"/>
    <w:rsid w:val="15785D0F"/>
    <w:rsid w:val="157B57FF"/>
    <w:rsid w:val="15897F1C"/>
    <w:rsid w:val="159D3912"/>
    <w:rsid w:val="15A61375"/>
    <w:rsid w:val="15C076B6"/>
    <w:rsid w:val="15C90318"/>
    <w:rsid w:val="16113A6D"/>
    <w:rsid w:val="161812A0"/>
    <w:rsid w:val="16337E88"/>
    <w:rsid w:val="163F05DA"/>
    <w:rsid w:val="165A5414"/>
    <w:rsid w:val="16665322"/>
    <w:rsid w:val="16720C1C"/>
    <w:rsid w:val="16816E45"/>
    <w:rsid w:val="169F551D"/>
    <w:rsid w:val="16AC22AD"/>
    <w:rsid w:val="16BB723D"/>
    <w:rsid w:val="16C47126"/>
    <w:rsid w:val="16C84A74"/>
    <w:rsid w:val="16D33BDA"/>
    <w:rsid w:val="172E3914"/>
    <w:rsid w:val="17343EB7"/>
    <w:rsid w:val="17591B70"/>
    <w:rsid w:val="175B7696"/>
    <w:rsid w:val="175D340E"/>
    <w:rsid w:val="1763654B"/>
    <w:rsid w:val="176F6C9D"/>
    <w:rsid w:val="17AC7EF2"/>
    <w:rsid w:val="17DD62FD"/>
    <w:rsid w:val="17E07B9B"/>
    <w:rsid w:val="17E42B40"/>
    <w:rsid w:val="17F378CF"/>
    <w:rsid w:val="18015F3F"/>
    <w:rsid w:val="181464FC"/>
    <w:rsid w:val="18622CA6"/>
    <w:rsid w:val="186662F2"/>
    <w:rsid w:val="186B56B7"/>
    <w:rsid w:val="18910E95"/>
    <w:rsid w:val="18975F67"/>
    <w:rsid w:val="18A137CE"/>
    <w:rsid w:val="18A961DF"/>
    <w:rsid w:val="18BD7EDC"/>
    <w:rsid w:val="18D3325C"/>
    <w:rsid w:val="18DC4807"/>
    <w:rsid w:val="18E65685"/>
    <w:rsid w:val="191F46F3"/>
    <w:rsid w:val="192D5405"/>
    <w:rsid w:val="195919B3"/>
    <w:rsid w:val="19687E48"/>
    <w:rsid w:val="198E565D"/>
    <w:rsid w:val="198F1D8F"/>
    <w:rsid w:val="19960E59"/>
    <w:rsid w:val="19F30050"/>
    <w:rsid w:val="1A0A7151"/>
    <w:rsid w:val="1A1839A8"/>
    <w:rsid w:val="1A1D50D7"/>
    <w:rsid w:val="1A310B82"/>
    <w:rsid w:val="1A475CB0"/>
    <w:rsid w:val="1A516B2E"/>
    <w:rsid w:val="1A9609E5"/>
    <w:rsid w:val="1AAC1914"/>
    <w:rsid w:val="1AB33345"/>
    <w:rsid w:val="1ADD03C2"/>
    <w:rsid w:val="1AE6371B"/>
    <w:rsid w:val="1AF57E02"/>
    <w:rsid w:val="1AFC0863"/>
    <w:rsid w:val="1B0B3181"/>
    <w:rsid w:val="1B0B4F2F"/>
    <w:rsid w:val="1B1F6C2C"/>
    <w:rsid w:val="1B2B5E42"/>
    <w:rsid w:val="1B351C29"/>
    <w:rsid w:val="1B3721C8"/>
    <w:rsid w:val="1B373F76"/>
    <w:rsid w:val="1B5A7C65"/>
    <w:rsid w:val="1B7D3571"/>
    <w:rsid w:val="1B9A62B3"/>
    <w:rsid w:val="1BA3785E"/>
    <w:rsid w:val="1BB43819"/>
    <w:rsid w:val="1BD72C73"/>
    <w:rsid w:val="1BE8440E"/>
    <w:rsid w:val="1BF105C9"/>
    <w:rsid w:val="1BF73705"/>
    <w:rsid w:val="1C0C0F5F"/>
    <w:rsid w:val="1C171288"/>
    <w:rsid w:val="1C294ACB"/>
    <w:rsid w:val="1C381D54"/>
    <w:rsid w:val="1C4F3541"/>
    <w:rsid w:val="1C5172BA"/>
    <w:rsid w:val="1C5841A4"/>
    <w:rsid w:val="1C8E7BC6"/>
    <w:rsid w:val="1CB20C70"/>
    <w:rsid w:val="1CB52CBE"/>
    <w:rsid w:val="1CC730D8"/>
    <w:rsid w:val="1CD557F5"/>
    <w:rsid w:val="1D155CEE"/>
    <w:rsid w:val="1D4666F2"/>
    <w:rsid w:val="1D61177E"/>
    <w:rsid w:val="1D76522A"/>
    <w:rsid w:val="1D8334A3"/>
    <w:rsid w:val="1DAF3D0A"/>
    <w:rsid w:val="1DB01DBE"/>
    <w:rsid w:val="1DBA2C3C"/>
    <w:rsid w:val="1DFC5003"/>
    <w:rsid w:val="1E122DC0"/>
    <w:rsid w:val="1E1265D5"/>
    <w:rsid w:val="1E1C37C6"/>
    <w:rsid w:val="1E285DF8"/>
    <w:rsid w:val="1E29229C"/>
    <w:rsid w:val="1E2A1B70"/>
    <w:rsid w:val="1E3D5D47"/>
    <w:rsid w:val="1E3D7AF5"/>
    <w:rsid w:val="1E4806C0"/>
    <w:rsid w:val="1E5866DD"/>
    <w:rsid w:val="1E5A27FB"/>
    <w:rsid w:val="1E7D4396"/>
    <w:rsid w:val="1E82375A"/>
    <w:rsid w:val="1EC91389"/>
    <w:rsid w:val="1ECC70CB"/>
    <w:rsid w:val="1EE241F9"/>
    <w:rsid w:val="1EF47B1B"/>
    <w:rsid w:val="1EFB3574"/>
    <w:rsid w:val="1F120F82"/>
    <w:rsid w:val="1F143F59"/>
    <w:rsid w:val="1F365409"/>
    <w:rsid w:val="1F5C0367"/>
    <w:rsid w:val="1F642E60"/>
    <w:rsid w:val="1F777078"/>
    <w:rsid w:val="1F7C289F"/>
    <w:rsid w:val="1F9A4AD4"/>
    <w:rsid w:val="1FB553D7"/>
    <w:rsid w:val="1FBE4C66"/>
    <w:rsid w:val="2020147D"/>
    <w:rsid w:val="20216FA3"/>
    <w:rsid w:val="204A64FA"/>
    <w:rsid w:val="205904EB"/>
    <w:rsid w:val="206375BB"/>
    <w:rsid w:val="20AE60DC"/>
    <w:rsid w:val="20B8743D"/>
    <w:rsid w:val="20BC5AB0"/>
    <w:rsid w:val="20BE47F2"/>
    <w:rsid w:val="20DA5FEC"/>
    <w:rsid w:val="20E424AA"/>
    <w:rsid w:val="20E82E07"/>
    <w:rsid w:val="20F3093F"/>
    <w:rsid w:val="20F57F95"/>
    <w:rsid w:val="20FA7BF4"/>
    <w:rsid w:val="2100305C"/>
    <w:rsid w:val="214B077B"/>
    <w:rsid w:val="21584C46"/>
    <w:rsid w:val="2163672E"/>
    <w:rsid w:val="219A700D"/>
    <w:rsid w:val="21B9578A"/>
    <w:rsid w:val="21DD6EFA"/>
    <w:rsid w:val="21F66939"/>
    <w:rsid w:val="223034CD"/>
    <w:rsid w:val="223777CD"/>
    <w:rsid w:val="223B2FC6"/>
    <w:rsid w:val="22407BB4"/>
    <w:rsid w:val="22511DC1"/>
    <w:rsid w:val="226C30EE"/>
    <w:rsid w:val="22BF31CF"/>
    <w:rsid w:val="22C5455D"/>
    <w:rsid w:val="22DA5554"/>
    <w:rsid w:val="22DE117B"/>
    <w:rsid w:val="22EF552E"/>
    <w:rsid w:val="22F85BE8"/>
    <w:rsid w:val="232C5B04"/>
    <w:rsid w:val="23572689"/>
    <w:rsid w:val="23607DE2"/>
    <w:rsid w:val="236E2B89"/>
    <w:rsid w:val="23732202"/>
    <w:rsid w:val="23922691"/>
    <w:rsid w:val="23933A64"/>
    <w:rsid w:val="239941C3"/>
    <w:rsid w:val="23A128D5"/>
    <w:rsid w:val="23FA0237"/>
    <w:rsid w:val="24003A9F"/>
    <w:rsid w:val="240371BF"/>
    <w:rsid w:val="24134AD8"/>
    <w:rsid w:val="241527C5"/>
    <w:rsid w:val="241C1F5B"/>
    <w:rsid w:val="24692EA2"/>
    <w:rsid w:val="246A716A"/>
    <w:rsid w:val="247753E3"/>
    <w:rsid w:val="248024EA"/>
    <w:rsid w:val="248D10AB"/>
    <w:rsid w:val="249D7540"/>
    <w:rsid w:val="24AC6A49"/>
    <w:rsid w:val="24C56B8E"/>
    <w:rsid w:val="24CF521F"/>
    <w:rsid w:val="25323A5B"/>
    <w:rsid w:val="25535E50"/>
    <w:rsid w:val="25543E81"/>
    <w:rsid w:val="25711CC6"/>
    <w:rsid w:val="257F09F3"/>
    <w:rsid w:val="2584600A"/>
    <w:rsid w:val="25A22934"/>
    <w:rsid w:val="25BC57A4"/>
    <w:rsid w:val="25C741E6"/>
    <w:rsid w:val="25CB3C39"/>
    <w:rsid w:val="25CB4399"/>
    <w:rsid w:val="25DE054B"/>
    <w:rsid w:val="26143832"/>
    <w:rsid w:val="261A071C"/>
    <w:rsid w:val="261B03F0"/>
    <w:rsid w:val="264B2FCC"/>
    <w:rsid w:val="26760048"/>
    <w:rsid w:val="26B24DF9"/>
    <w:rsid w:val="26B96187"/>
    <w:rsid w:val="26C97D76"/>
    <w:rsid w:val="26E33204"/>
    <w:rsid w:val="27257379"/>
    <w:rsid w:val="273A72C8"/>
    <w:rsid w:val="274A6DDF"/>
    <w:rsid w:val="275525FD"/>
    <w:rsid w:val="277327DA"/>
    <w:rsid w:val="27842671"/>
    <w:rsid w:val="278B2E22"/>
    <w:rsid w:val="27934C2A"/>
    <w:rsid w:val="279D1605"/>
    <w:rsid w:val="27A504B9"/>
    <w:rsid w:val="27BA3F65"/>
    <w:rsid w:val="27C070A1"/>
    <w:rsid w:val="27CC3C98"/>
    <w:rsid w:val="27CC5A46"/>
    <w:rsid w:val="27CE5C62"/>
    <w:rsid w:val="280B47C0"/>
    <w:rsid w:val="28414686"/>
    <w:rsid w:val="284B2EC4"/>
    <w:rsid w:val="28C0233A"/>
    <w:rsid w:val="28D23530"/>
    <w:rsid w:val="28E65763"/>
    <w:rsid w:val="28E76FDC"/>
    <w:rsid w:val="28EA5551"/>
    <w:rsid w:val="28F33BD2"/>
    <w:rsid w:val="29051210"/>
    <w:rsid w:val="2907142C"/>
    <w:rsid w:val="290D6316"/>
    <w:rsid w:val="291122AA"/>
    <w:rsid w:val="292C0E92"/>
    <w:rsid w:val="29373393"/>
    <w:rsid w:val="29567CBD"/>
    <w:rsid w:val="29606D8E"/>
    <w:rsid w:val="2975293D"/>
    <w:rsid w:val="298A3E0B"/>
    <w:rsid w:val="29934A6D"/>
    <w:rsid w:val="299F78B6"/>
    <w:rsid w:val="29A94291"/>
    <w:rsid w:val="29A9603F"/>
    <w:rsid w:val="29C0782D"/>
    <w:rsid w:val="29C84E3E"/>
    <w:rsid w:val="29F85218"/>
    <w:rsid w:val="29FD04D3"/>
    <w:rsid w:val="2A094D30"/>
    <w:rsid w:val="2A0D1772"/>
    <w:rsid w:val="2A181417"/>
    <w:rsid w:val="2A34079D"/>
    <w:rsid w:val="2A506E02"/>
    <w:rsid w:val="2A7E3970"/>
    <w:rsid w:val="2A842608"/>
    <w:rsid w:val="2AAB228B"/>
    <w:rsid w:val="2ABC7D1B"/>
    <w:rsid w:val="2ABE7A3E"/>
    <w:rsid w:val="2AC84BEB"/>
    <w:rsid w:val="2ACF41CB"/>
    <w:rsid w:val="2B011EAB"/>
    <w:rsid w:val="2B0C0F7B"/>
    <w:rsid w:val="2B125E66"/>
    <w:rsid w:val="2B147E30"/>
    <w:rsid w:val="2B170C8C"/>
    <w:rsid w:val="2B2838DB"/>
    <w:rsid w:val="2B287437"/>
    <w:rsid w:val="2B683CD8"/>
    <w:rsid w:val="2B6E37C0"/>
    <w:rsid w:val="2B7803BF"/>
    <w:rsid w:val="2BA54F2C"/>
    <w:rsid w:val="2BA967CA"/>
    <w:rsid w:val="2BF70A5B"/>
    <w:rsid w:val="2C047D74"/>
    <w:rsid w:val="2C0F23A5"/>
    <w:rsid w:val="2C385DA0"/>
    <w:rsid w:val="2C4E7980"/>
    <w:rsid w:val="2C770676"/>
    <w:rsid w:val="2CA234A8"/>
    <w:rsid w:val="2CC66F08"/>
    <w:rsid w:val="2CCB6C14"/>
    <w:rsid w:val="2CE37BD0"/>
    <w:rsid w:val="2CF84E03"/>
    <w:rsid w:val="2D214A86"/>
    <w:rsid w:val="2D267C5C"/>
    <w:rsid w:val="2D594220"/>
    <w:rsid w:val="2D5C786C"/>
    <w:rsid w:val="2D6055AE"/>
    <w:rsid w:val="2DA52FC1"/>
    <w:rsid w:val="2DA84860"/>
    <w:rsid w:val="2DBB0A37"/>
    <w:rsid w:val="2DC10FD1"/>
    <w:rsid w:val="2DDB4C35"/>
    <w:rsid w:val="2DFE0923"/>
    <w:rsid w:val="2E053A60"/>
    <w:rsid w:val="2E0D0F34"/>
    <w:rsid w:val="2E0E0B66"/>
    <w:rsid w:val="2E532A1D"/>
    <w:rsid w:val="2E552C39"/>
    <w:rsid w:val="2E642E7C"/>
    <w:rsid w:val="2E6C3ADF"/>
    <w:rsid w:val="2E78370C"/>
    <w:rsid w:val="2E813A2E"/>
    <w:rsid w:val="2E870919"/>
    <w:rsid w:val="2EBF6305"/>
    <w:rsid w:val="2ED95618"/>
    <w:rsid w:val="2EDC2A13"/>
    <w:rsid w:val="2EDF0755"/>
    <w:rsid w:val="2EE81DA9"/>
    <w:rsid w:val="2EFA178C"/>
    <w:rsid w:val="2EFF6701"/>
    <w:rsid w:val="2F012479"/>
    <w:rsid w:val="2F0E4B96"/>
    <w:rsid w:val="2F155F25"/>
    <w:rsid w:val="2F350375"/>
    <w:rsid w:val="2F3F3AEC"/>
    <w:rsid w:val="2F432A92"/>
    <w:rsid w:val="2F4D56BE"/>
    <w:rsid w:val="2F6A001E"/>
    <w:rsid w:val="2F713AA3"/>
    <w:rsid w:val="2F715851"/>
    <w:rsid w:val="2F736A5D"/>
    <w:rsid w:val="2FA379D4"/>
    <w:rsid w:val="2FAA2C72"/>
    <w:rsid w:val="2FF3270A"/>
    <w:rsid w:val="2FF81ACE"/>
    <w:rsid w:val="300761B5"/>
    <w:rsid w:val="30134B5A"/>
    <w:rsid w:val="303074BA"/>
    <w:rsid w:val="303C5113"/>
    <w:rsid w:val="305B02AF"/>
    <w:rsid w:val="306B6744"/>
    <w:rsid w:val="30A6777C"/>
    <w:rsid w:val="30AB4D93"/>
    <w:rsid w:val="30B46D73"/>
    <w:rsid w:val="30BD6874"/>
    <w:rsid w:val="30C714A1"/>
    <w:rsid w:val="30F46739"/>
    <w:rsid w:val="30FA1876"/>
    <w:rsid w:val="310149B3"/>
    <w:rsid w:val="31073627"/>
    <w:rsid w:val="31097D0B"/>
    <w:rsid w:val="312B7C81"/>
    <w:rsid w:val="313A6116"/>
    <w:rsid w:val="314A45AB"/>
    <w:rsid w:val="314D6326"/>
    <w:rsid w:val="316B4522"/>
    <w:rsid w:val="318D4498"/>
    <w:rsid w:val="319F7F4E"/>
    <w:rsid w:val="31B23EFF"/>
    <w:rsid w:val="31B859B9"/>
    <w:rsid w:val="31B9528D"/>
    <w:rsid w:val="31CF00FD"/>
    <w:rsid w:val="321B1AA4"/>
    <w:rsid w:val="322C1F03"/>
    <w:rsid w:val="32364B30"/>
    <w:rsid w:val="324303D8"/>
    <w:rsid w:val="324E3C27"/>
    <w:rsid w:val="326C67A3"/>
    <w:rsid w:val="3281224F"/>
    <w:rsid w:val="32883395"/>
    <w:rsid w:val="32987598"/>
    <w:rsid w:val="32F81DE5"/>
    <w:rsid w:val="32FD7AFE"/>
    <w:rsid w:val="3307027A"/>
    <w:rsid w:val="330709B5"/>
    <w:rsid w:val="33092244"/>
    <w:rsid w:val="331049C2"/>
    <w:rsid w:val="33531C09"/>
    <w:rsid w:val="33582884"/>
    <w:rsid w:val="33883169"/>
    <w:rsid w:val="338B0EAB"/>
    <w:rsid w:val="33900270"/>
    <w:rsid w:val="339E298D"/>
    <w:rsid w:val="33B977C6"/>
    <w:rsid w:val="33C10429"/>
    <w:rsid w:val="33D04B10"/>
    <w:rsid w:val="33D57876"/>
    <w:rsid w:val="33D8069D"/>
    <w:rsid w:val="33D939C5"/>
    <w:rsid w:val="33D95773"/>
    <w:rsid w:val="340A6274"/>
    <w:rsid w:val="340D18C0"/>
    <w:rsid w:val="343B743F"/>
    <w:rsid w:val="344305C5"/>
    <w:rsid w:val="344A2B14"/>
    <w:rsid w:val="346A286F"/>
    <w:rsid w:val="34713BFD"/>
    <w:rsid w:val="34784F8C"/>
    <w:rsid w:val="347B0F20"/>
    <w:rsid w:val="347D07F4"/>
    <w:rsid w:val="347E631A"/>
    <w:rsid w:val="34933A2F"/>
    <w:rsid w:val="349D2C44"/>
    <w:rsid w:val="34A9783B"/>
    <w:rsid w:val="34B12734"/>
    <w:rsid w:val="34B561E0"/>
    <w:rsid w:val="34BD6E42"/>
    <w:rsid w:val="34C066CC"/>
    <w:rsid w:val="350601DC"/>
    <w:rsid w:val="355C1873"/>
    <w:rsid w:val="358A766C"/>
    <w:rsid w:val="35A83952"/>
    <w:rsid w:val="35B446E9"/>
    <w:rsid w:val="35B91D00"/>
    <w:rsid w:val="35C97A69"/>
    <w:rsid w:val="35E24A53"/>
    <w:rsid w:val="35E825E5"/>
    <w:rsid w:val="360311CD"/>
    <w:rsid w:val="36131B57"/>
    <w:rsid w:val="361A2073"/>
    <w:rsid w:val="36A04C6E"/>
    <w:rsid w:val="36B44275"/>
    <w:rsid w:val="36BD725D"/>
    <w:rsid w:val="36D861B6"/>
    <w:rsid w:val="37046FAB"/>
    <w:rsid w:val="370E4FAB"/>
    <w:rsid w:val="372D2E9C"/>
    <w:rsid w:val="37510326"/>
    <w:rsid w:val="376932B2"/>
    <w:rsid w:val="378F7DDF"/>
    <w:rsid w:val="37964132"/>
    <w:rsid w:val="37985945"/>
    <w:rsid w:val="379E73FF"/>
    <w:rsid w:val="37BD4F97"/>
    <w:rsid w:val="37EA0736"/>
    <w:rsid w:val="37F60FE9"/>
    <w:rsid w:val="37F71260"/>
    <w:rsid w:val="383D272C"/>
    <w:rsid w:val="3842422E"/>
    <w:rsid w:val="384F0EE3"/>
    <w:rsid w:val="385A330F"/>
    <w:rsid w:val="386F48F8"/>
    <w:rsid w:val="38943AB8"/>
    <w:rsid w:val="38D94467"/>
    <w:rsid w:val="38E61FB2"/>
    <w:rsid w:val="390A63CE"/>
    <w:rsid w:val="392233F3"/>
    <w:rsid w:val="3930052B"/>
    <w:rsid w:val="394C69E7"/>
    <w:rsid w:val="39897C3B"/>
    <w:rsid w:val="39A84565"/>
    <w:rsid w:val="39AE70AB"/>
    <w:rsid w:val="39B822CE"/>
    <w:rsid w:val="39BE4B68"/>
    <w:rsid w:val="39C835DC"/>
    <w:rsid w:val="3A1D70AA"/>
    <w:rsid w:val="3A1E65D5"/>
    <w:rsid w:val="3A241712"/>
    <w:rsid w:val="3A577D39"/>
    <w:rsid w:val="3A64593D"/>
    <w:rsid w:val="3A797448"/>
    <w:rsid w:val="3AA765CB"/>
    <w:rsid w:val="3AAA7E69"/>
    <w:rsid w:val="3AB26D1E"/>
    <w:rsid w:val="3AB42F91"/>
    <w:rsid w:val="3ACC6031"/>
    <w:rsid w:val="3ACF5B21"/>
    <w:rsid w:val="3AE9023F"/>
    <w:rsid w:val="3AFA0DF0"/>
    <w:rsid w:val="3B253993"/>
    <w:rsid w:val="3B3C6DA2"/>
    <w:rsid w:val="3B40257B"/>
    <w:rsid w:val="3B420F75"/>
    <w:rsid w:val="3B732951"/>
    <w:rsid w:val="3B7566C9"/>
    <w:rsid w:val="3B7A3CDF"/>
    <w:rsid w:val="3B892174"/>
    <w:rsid w:val="3BB012F7"/>
    <w:rsid w:val="3BF75330"/>
    <w:rsid w:val="3C0C0783"/>
    <w:rsid w:val="3C101F4E"/>
    <w:rsid w:val="3C162337"/>
    <w:rsid w:val="3C3C3F77"/>
    <w:rsid w:val="3C3F2DF6"/>
    <w:rsid w:val="3C74072E"/>
    <w:rsid w:val="3C793F97"/>
    <w:rsid w:val="3C7E15AD"/>
    <w:rsid w:val="3C8D7A42"/>
    <w:rsid w:val="3C9568F7"/>
    <w:rsid w:val="3C97441D"/>
    <w:rsid w:val="3C9E1C4F"/>
    <w:rsid w:val="3CA8487C"/>
    <w:rsid w:val="3CAB1C76"/>
    <w:rsid w:val="3CAC611A"/>
    <w:rsid w:val="3CD218F9"/>
    <w:rsid w:val="3CD302FA"/>
    <w:rsid w:val="3CE753A4"/>
    <w:rsid w:val="3CFD6976"/>
    <w:rsid w:val="3D0A2E41"/>
    <w:rsid w:val="3D0D46DF"/>
    <w:rsid w:val="3D235C3B"/>
    <w:rsid w:val="3D2F0AF9"/>
    <w:rsid w:val="3D3B56F0"/>
    <w:rsid w:val="3D6055D1"/>
    <w:rsid w:val="3D641E44"/>
    <w:rsid w:val="3D6469F5"/>
    <w:rsid w:val="3D7D1865"/>
    <w:rsid w:val="3D7D7AB7"/>
    <w:rsid w:val="3D864BBD"/>
    <w:rsid w:val="3D89645B"/>
    <w:rsid w:val="3D9174C1"/>
    <w:rsid w:val="3DA9265A"/>
    <w:rsid w:val="3DBA6615"/>
    <w:rsid w:val="3DBD269B"/>
    <w:rsid w:val="3DDF607B"/>
    <w:rsid w:val="3E217E4A"/>
    <w:rsid w:val="3E3208A1"/>
    <w:rsid w:val="3E6C6EAB"/>
    <w:rsid w:val="3E7E7642"/>
    <w:rsid w:val="3E810EE1"/>
    <w:rsid w:val="3EA01CAF"/>
    <w:rsid w:val="3EA71F35"/>
    <w:rsid w:val="3EBE3ED1"/>
    <w:rsid w:val="3ED90D1D"/>
    <w:rsid w:val="3EE55913"/>
    <w:rsid w:val="3EE610CB"/>
    <w:rsid w:val="3EFE0783"/>
    <w:rsid w:val="3F035D9A"/>
    <w:rsid w:val="3F0A537A"/>
    <w:rsid w:val="3F283A52"/>
    <w:rsid w:val="3F3D74FE"/>
    <w:rsid w:val="3F827606"/>
    <w:rsid w:val="3F9F3A96"/>
    <w:rsid w:val="3FA61B22"/>
    <w:rsid w:val="3FAB2C48"/>
    <w:rsid w:val="3FC419CD"/>
    <w:rsid w:val="3FD55988"/>
    <w:rsid w:val="3FED48D1"/>
    <w:rsid w:val="3FFD4DD0"/>
    <w:rsid w:val="401A15ED"/>
    <w:rsid w:val="40316936"/>
    <w:rsid w:val="40317735"/>
    <w:rsid w:val="40866EAC"/>
    <w:rsid w:val="40AD06B3"/>
    <w:rsid w:val="40BF3F42"/>
    <w:rsid w:val="40EC38DD"/>
    <w:rsid w:val="40F736DC"/>
    <w:rsid w:val="410C362B"/>
    <w:rsid w:val="410C3893"/>
    <w:rsid w:val="41393CF5"/>
    <w:rsid w:val="414D77A0"/>
    <w:rsid w:val="41546D80"/>
    <w:rsid w:val="415641BE"/>
    <w:rsid w:val="416B795B"/>
    <w:rsid w:val="41780CC1"/>
    <w:rsid w:val="417B60BB"/>
    <w:rsid w:val="418A4550"/>
    <w:rsid w:val="41991132"/>
    <w:rsid w:val="41AE46E3"/>
    <w:rsid w:val="41B4781F"/>
    <w:rsid w:val="41D46A3E"/>
    <w:rsid w:val="41DF775C"/>
    <w:rsid w:val="41E2613A"/>
    <w:rsid w:val="41EE0F83"/>
    <w:rsid w:val="41EE3A17"/>
    <w:rsid w:val="42185A06"/>
    <w:rsid w:val="424961B9"/>
    <w:rsid w:val="424D3EFC"/>
    <w:rsid w:val="42650095"/>
    <w:rsid w:val="426923B8"/>
    <w:rsid w:val="42812314"/>
    <w:rsid w:val="429733C9"/>
    <w:rsid w:val="42A72EE0"/>
    <w:rsid w:val="42BF647C"/>
    <w:rsid w:val="42D31F27"/>
    <w:rsid w:val="42F56341"/>
    <w:rsid w:val="432D5ADB"/>
    <w:rsid w:val="43301127"/>
    <w:rsid w:val="436D5ED7"/>
    <w:rsid w:val="438F40A0"/>
    <w:rsid w:val="43A35D9D"/>
    <w:rsid w:val="43C81360"/>
    <w:rsid w:val="43EA338A"/>
    <w:rsid w:val="43F3462F"/>
    <w:rsid w:val="43F63FFD"/>
    <w:rsid w:val="43FD725B"/>
    <w:rsid w:val="4427252A"/>
    <w:rsid w:val="442944F4"/>
    <w:rsid w:val="4441183E"/>
    <w:rsid w:val="445350CD"/>
    <w:rsid w:val="448E25A9"/>
    <w:rsid w:val="44AD40B1"/>
    <w:rsid w:val="44E53F39"/>
    <w:rsid w:val="44EC0F4F"/>
    <w:rsid w:val="45034D45"/>
    <w:rsid w:val="451505D5"/>
    <w:rsid w:val="453C76F4"/>
    <w:rsid w:val="45435741"/>
    <w:rsid w:val="45506045"/>
    <w:rsid w:val="457B46C5"/>
    <w:rsid w:val="457F4CF1"/>
    <w:rsid w:val="459B31D0"/>
    <w:rsid w:val="45A831F7"/>
    <w:rsid w:val="45CD0EAF"/>
    <w:rsid w:val="45D87F80"/>
    <w:rsid w:val="45DE30BD"/>
    <w:rsid w:val="45E701C3"/>
    <w:rsid w:val="45F03E26"/>
    <w:rsid w:val="46116FEE"/>
    <w:rsid w:val="46162856"/>
    <w:rsid w:val="46362AA7"/>
    <w:rsid w:val="4646115E"/>
    <w:rsid w:val="465109F2"/>
    <w:rsid w:val="468448D8"/>
    <w:rsid w:val="46CB3641"/>
    <w:rsid w:val="46CE3131"/>
    <w:rsid w:val="46E666CD"/>
    <w:rsid w:val="46F54B62"/>
    <w:rsid w:val="47136D96"/>
    <w:rsid w:val="471F78E6"/>
    <w:rsid w:val="47283F84"/>
    <w:rsid w:val="47503B46"/>
    <w:rsid w:val="475B34C2"/>
    <w:rsid w:val="477C2B8D"/>
    <w:rsid w:val="478B2DD0"/>
    <w:rsid w:val="47A0687C"/>
    <w:rsid w:val="47B57E4D"/>
    <w:rsid w:val="47B60D63"/>
    <w:rsid w:val="47D66741"/>
    <w:rsid w:val="47DE1152"/>
    <w:rsid w:val="47DE34E9"/>
    <w:rsid w:val="47E86474"/>
    <w:rsid w:val="47FD6DC2"/>
    <w:rsid w:val="480706A9"/>
    <w:rsid w:val="48084136"/>
    <w:rsid w:val="480C2163"/>
    <w:rsid w:val="483C6436"/>
    <w:rsid w:val="485E04E5"/>
    <w:rsid w:val="4860425D"/>
    <w:rsid w:val="48783F74"/>
    <w:rsid w:val="489167A2"/>
    <w:rsid w:val="48BF60AB"/>
    <w:rsid w:val="48DD58AD"/>
    <w:rsid w:val="48E252F1"/>
    <w:rsid w:val="48FC7BFD"/>
    <w:rsid w:val="491D3EFC"/>
    <w:rsid w:val="49373210"/>
    <w:rsid w:val="493C27E9"/>
    <w:rsid w:val="493C4382"/>
    <w:rsid w:val="49470F79"/>
    <w:rsid w:val="495175DC"/>
    <w:rsid w:val="495711BC"/>
    <w:rsid w:val="496F39ED"/>
    <w:rsid w:val="49706721"/>
    <w:rsid w:val="49816239"/>
    <w:rsid w:val="498A5DE1"/>
    <w:rsid w:val="498A77E3"/>
    <w:rsid w:val="49A07007"/>
    <w:rsid w:val="49D77A53"/>
    <w:rsid w:val="49FF41D3"/>
    <w:rsid w:val="4A2F3EE7"/>
    <w:rsid w:val="4A617E1F"/>
    <w:rsid w:val="4A6F69D9"/>
    <w:rsid w:val="4A731A46"/>
    <w:rsid w:val="4A805CB0"/>
    <w:rsid w:val="4A871F75"/>
    <w:rsid w:val="4A995804"/>
    <w:rsid w:val="4A9F6792"/>
    <w:rsid w:val="4ACA3C0F"/>
    <w:rsid w:val="4B0F349C"/>
    <w:rsid w:val="4B2B2900"/>
    <w:rsid w:val="4B410375"/>
    <w:rsid w:val="4B480906"/>
    <w:rsid w:val="4B4F26CE"/>
    <w:rsid w:val="4B6422B6"/>
    <w:rsid w:val="4B7A5635"/>
    <w:rsid w:val="4B7B6C3C"/>
    <w:rsid w:val="4B920BD1"/>
    <w:rsid w:val="4B9761E7"/>
    <w:rsid w:val="4B977F95"/>
    <w:rsid w:val="4BA17066"/>
    <w:rsid w:val="4BA34B8C"/>
    <w:rsid w:val="4BB46D99"/>
    <w:rsid w:val="4BBF74EC"/>
    <w:rsid w:val="4BD341FB"/>
    <w:rsid w:val="4BE068DB"/>
    <w:rsid w:val="4BE30A2F"/>
    <w:rsid w:val="4BE56F53"/>
    <w:rsid w:val="4BE807F1"/>
    <w:rsid w:val="4BED4059"/>
    <w:rsid w:val="4BF6002B"/>
    <w:rsid w:val="4C1C66ED"/>
    <w:rsid w:val="4C204903"/>
    <w:rsid w:val="4C2A4CE9"/>
    <w:rsid w:val="4C4F261E"/>
    <w:rsid w:val="4C547C35"/>
    <w:rsid w:val="4C5E4F57"/>
    <w:rsid w:val="4C6F0F12"/>
    <w:rsid w:val="4CC76658"/>
    <w:rsid w:val="4CCF375F"/>
    <w:rsid w:val="4CE4720A"/>
    <w:rsid w:val="4CE74F4D"/>
    <w:rsid w:val="4D0E24D9"/>
    <w:rsid w:val="4D20220D"/>
    <w:rsid w:val="4D227D33"/>
    <w:rsid w:val="4D243AAB"/>
    <w:rsid w:val="4D382228"/>
    <w:rsid w:val="4D44414D"/>
    <w:rsid w:val="4D467F55"/>
    <w:rsid w:val="4D4B7289"/>
    <w:rsid w:val="4D4C5386"/>
    <w:rsid w:val="4D7A191D"/>
    <w:rsid w:val="4D842A50"/>
    <w:rsid w:val="4D863FB8"/>
    <w:rsid w:val="4DB017E2"/>
    <w:rsid w:val="4DB84D64"/>
    <w:rsid w:val="4DCB2178"/>
    <w:rsid w:val="4DD3102D"/>
    <w:rsid w:val="4DDD4E6D"/>
    <w:rsid w:val="4E514A78"/>
    <w:rsid w:val="4E740A62"/>
    <w:rsid w:val="4E7E543D"/>
    <w:rsid w:val="4E8E5FAD"/>
    <w:rsid w:val="4EB97B53"/>
    <w:rsid w:val="4EC45545"/>
    <w:rsid w:val="4ECE2238"/>
    <w:rsid w:val="4EEF00E8"/>
    <w:rsid w:val="4F1813ED"/>
    <w:rsid w:val="4F1D07B2"/>
    <w:rsid w:val="4F285432"/>
    <w:rsid w:val="4F29184C"/>
    <w:rsid w:val="4F2B261B"/>
    <w:rsid w:val="4F455BC5"/>
    <w:rsid w:val="4F4A3571"/>
    <w:rsid w:val="4F5148FF"/>
    <w:rsid w:val="4F6939F7"/>
    <w:rsid w:val="4F6C1739"/>
    <w:rsid w:val="4F6C798B"/>
    <w:rsid w:val="4F806E2E"/>
    <w:rsid w:val="4F813436"/>
    <w:rsid w:val="4F9A44F8"/>
    <w:rsid w:val="4FAB04B3"/>
    <w:rsid w:val="4FB56C3C"/>
    <w:rsid w:val="4FBD3D43"/>
    <w:rsid w:val="4FD65C39"/>
    <w:rsid w:val="4FE37C4D"/>
    <w:rsid w:val="4FE6773D"/>
    <w:rsid w:val="4FF5172F"/>
    <w:rsid w:val="500431E5"/>
    <w:rsid w:val="50395ABF"/>
    <w:rsid w:val="504D156B"/>
    <w:rsid w:val="506E1F2E"/>
    <w:rsid w:val="507C59AC"/>
    <w:rsid w:val="50A15412"/>
    <w:rsid w:val="50B80A5F"/>
    <w:rsid w:val="50CD6C5C"/>
    <w:rsid w:val="50CF01D2"/>
    <w:rsid w:val="50F40122"/>
    <w:rsid w:val="50F8040A"/>
    <w:rsid w:val="5144471C"/>
    <w:rsid w:val="515100DE"/>
    <w:rsid w:val="51622DF4"/>
    <w:rsid w:val="51735001"/>
    <w:rsid w:val="518717BE"/>
    <w:rsid w:val="51D62B92"/>
    <w:rsid w:val="51DB4B86"/>
    <w:rsid w:val="51E1640E"/>
    <w:rsid w:val="520E4D2A"/>
    <w:rsid w:val="521560B8"/>
    <w:rsid w:val="522B58DB"/>
    <w:rsid w:val="5253273C"/>
    <w:rsid w:val="52927709"/>
    <w:rsid w:val="52B21B59"/>
    <w:rsid w:val="52B61649"/>
    <w:rsid w:val="52B92EE7"/>
    <w:rsid w:val="52BC6534"/>
    <w:rsid w:val="52CD24EF"/>
    <w:rsid w:val="52E361B6"/>
    <w:rsid w:val="52EF4B5B"/>
    <w:rsid w:val="52FD1026"/>
    <w:rsid w:val="52FD174F"/>
    <w:rsid w:val="53031B15"/>
    <w:rsid w:val="5313553A"/>
    <w:rsid w:val="532742F5"/>
    <w:rsid w:val="532E5683"/>
    <w:rsid w:val="5334431C"/>
    <w:rsid w:val="53400F13"/>
    <w:rsid w:val="53513120"/>
    <w:rsid w:val="537137C2"/>
    <w:rsid w:val="53760DD8"/>
    <w:rsid w:val="538A03E0"/>
    <w:rsid w:val="538A5297"/>
    <w:rsid w:val="53B536AF"/>
    <w:rsid w:val="53B53C94"/>
    <w:rsid w:val="53D55AFF"/>
    <w:rsid w:val="53EF27B4"/>
    <w:rsid w:val="53F76C5E"/>
    <w:rsid w:val="53FE2BF7"/>
    <w:rsid w:val="54071A30"/>
    <w:rsid w:val="54484523"/>
    <w:rsid w:val="545F361A"/>
    <w:rsid w:val="5474356A"/>
    <w:rsid w:val="547847F3"/>
    <w:rsid w:val="548E3F00"/>
    <w:rsid w:val="54B03E76"/>
    <w:rsid w:val="54B418FE"/>
    <w:rsid w:val="54B60687"/>
    <w:rsid w:val="54EA382C"/>
    <w:rsid w:val="55024AE0"/>
    <w:rsid w:val="55055F70"/>
    <w:rsid w:val="552B174F"/>
    <w:rsid w:val="552F3100"/>
    <w:rsid w:val="55333C3E"/>
    <w:rsid w:val="55342CF9"/>
    <w:rsid w:val="553434AF"/>
    <w:rsid w:val="554A6079"/>
    <w:rsid w:val="555313D1"/>
    <w:rsid w:val="55651104"/>
    <w:rsid w:val="55741347"/>
    <w:rsid w:val="55911EF9"/>
    <w:rsid w:val="559243CF"/>
    <w:rsid w:val="55A51501"/>
    <w:rsid w:val="55B51CAD"/>
    <w:rsid w:val="55B91086"/>
    <w:rsid w:val="55D465D1"/>
    <w:rsid w:val="55F634AF"/>
    <w:rsid w:val="56242D6E"/>
    <w:rsid w:val="565076BF"/>
    <w:rsid w:val="565357C4"/>
    <w:rsid w:val="56617B1E"/>
    <w:rsid w:val="567E247E"/>
    <w:rsid w:val="56E85B49"/>
    <w:rsid w:val="56E9366F"/>
    <w:rsid w:val="570A1F63"/>
    <w:rsid w:val="570B51C5"/>
    <w:rsid w:val="571F7091"/>
    <w:rsid w:val="574D13F2"/>
    <w:rsid w:val="574D567F"/>
    <w:rsid w:val="578C4726"/>
    <w:rsid w:val="57A31A70"/>
    <w:rsid w:val="57A63600"/>
    <w:rsid w:val="57E5652D"/>
    <w:rsid w:val="57E74053"/>
    <w:rsid w:val="57FE4859"/>
    <w:rsid w:val="58003366"/>
    <w:rsid w:val="581B3CFC"/>
    <w:rsid w:val="58350505"/>
    <w:rsid w:val="583D0117"/>
    <w:rsid w:val="58421289"/>
    <w:rsid w:val="5842572D"/>
    <w:rsid w:val="58515970"/>
    <w:rsid w:val="588B2C30"/>
    <w:rsid w:val="589F66DB"/>
    <w:rsid w:val="58A43CF2"/>
    <w:rsid w:val="58BC728D"/>
    <w:rsid w:val="58BD015B"/>
    <w:rsid w:val="5903310E"/>
    <w:rsid w:val="5923730C"/>
    <w:rsid w:val="593439E9"/>
    <w:rsid w:val="593E5EF4"/>
    <w:rsid w:val="595D5751"/>
    <w:rsid w:val="595E0345"/>
    <w:rsid w:val="596671F9"/>
    <w:rsid w:val="59745DBA"/>
    <w:rsid w:val="59923EE5"/>
    <w:rsid w:val="59943D66"/>
    <w:rsid w:val="59B9557B"/>
    <w:rsid w:val="59C208D3"/>
    <w:rsid w:val="59C83A10"/>
    <w:rsid w:val="59CD7278"/>
    <w:rsid w:val="59D16D68"/>
    <w:rsid w:val="59EB6E9A"/>
    <w:rsid w:val="5A1621EF"/>
    <w:rsid w:val="5A470DD9"/>
    <w:rsid w:val="5A5658A9"/>
    <w:rsid w:val="5A6951F3"/>
    <w:rsid w:val="5A731BCE"/>
    <w:rsid w:val="5A8E6D2D"/>
    <w:rsid w:val="5A90452E"/>
    <w:rsid w:val="5ACD5782"/>
    <w:rsid w:val="5AD74D1D"/>
    <w:rsid w:val="5AE91E90"/>
    <w:rsid w:val="5AEC372E"/>
    <w:rsid w:val="5B0171D9"/>
    <w:rsid w:val="5B2555BE"/>
    <w:rsid w:val="5B3475AF"/>
    <w:rsid w:val="5B394BC5"/>
    <w:rsid w:val="5B4044D2"/>
    <w:rsid w:val="5B5A4B3C"/>
    <w:rsid w:val="5B6A4C68"/>
    <w:rsid w:val="5B6B4F9B"/>
    <w:rsid w:val="5B733DF5"/>
    <w:rsid w:val="5B8A71CF"/>
    <w:rsid w:val="5B9444F1"/>
    <w:rsid w:val="5B9C6E4B"/>
    <w:rsid w:val="5BAA47CD"/>
    <w:rsid w:val="5BBB382C"/>
    <w:rsid w:val="5BD40D92"/>
    <w:rsid w:val="5BDD4B20"/>
    <w:rsid w:val="5BF30806"/>
    <w:rsid w:val="5BF3746A"/>
    <w:rsid w:val="5BF423AA"/>
    <w:rsid w:val="5C013209"/>
    <w:rsid w:val="5C0D7E00"/>
    <w:rsid w:val="5C307777"/>
    <w:rsid w:val="5C374330"/>
    <w:rsid w:val="5C433822"/>
    <w:rsid w:val="5C480E38"/>
    <w:rsid w:val="5C653B7B"/>
    <w:rsid w:val="5C6A37C7"/>
    <w:rsid w:val="5C8A1451"/>
    <w:rsid w:val="5CAE513F"/>
    <w:rsid w:val="5CD86660"/>
    <w:rsid w:val="5CDF354A"/>
    <w:rsid w:val="5CE943C9"/>
    <w:rsid w:val="5CEB1EEF"/>
    <w:rsid w:val="5CED210B"/>
    <w:rsid w:val="5CEE378D"/>
    <w:rsid w:val="5D041203"/>
    <w:rsid w:val="5D1F27C7"/>
    <w:rsid w:val="5D221689"/>
    <w:rsid w:val="5D323FC2"/>
    <w:rsid w:val="5D5850AB"/>
    <w:rsid w:val="5D74268D"/>
    <w:rsid w:val="5D867E6A"/>
    <w:rsid w:val="5DBC3951"/>
    <w:rsid w:val="5DC51BDB"/>
    <w:rsid w:val="5DD40BD5"/>
    <w:rsid w:val="5DE66B5A"/>
    <w:rsid w:val="5DE74DAC"/>
    <w:rsid w:val="5DFA3C29"/>
    <w:rsid w:val="5DFE20F6"/>
    <w:rsid w:val="5E0771FD"/>
    <w:rsid w:val="5E082F75"/>
    <w:rsid w:val="5E287173"/>
    <w:rsid w:val="5E2D6537"/>
    <w:rsid w:val="5E31427A"/>
    <w:rsid w:val="5E5A37D0"/>
    <w:rsid w:val="5EB32EE1"/>
    <w:rsid w:val="5ED14285"/>
    <w:rsid w:val="5EDD1D0C"/>
    <w:rsid w:val="5EE4753E"/>
    <w:rsid w:val="5F21609C"/>
    <w:rsid w:val="5F24793A"/>
    <w:rsid w:val="5F261904"/>
    <w:rsid w:val="5F2711D9"/>
    <w:rsid w:val="5F6D12E1"/>
    <w:rsid w:val="5F7E063F"/>
    <w:rsid w:val="5F973121"/>
    <w:rsid w:val="5F9F5213"/>
    <w:rsid w:val="5FB02A93"/>
    <w:rsid w:val="5FBB029F"/>
    <w:rsid w:val="5FC30F01"/>
    <w:rsid w:val="5FFB68ED"/>
    <w:rsid w:val="60017C7C"/>
    <w:rsid w:val="603718EF"/>
    <w:rsid w:val="6037369D"/>
    <w:rsid w:val="6044065C"/>
    <w:rsid w:val="604638E0"/>
    <w:rsid w:val="606C2C8F"/>
    <w:rsid w:val="608C1C3B"/>
    <w:rsid w:val="60CF776F"/>
    <w:rsid w:val="60F33A68"/>
    <w:rsid w:val="61045C75"/>
    <w:rsid w:val="61054235"/>
    <w:rsid w:val="611C2FBF"/>
    <w:rsid w:val="612D4112"/>
    <w:rsid w:val="613407AE"/>
    <w:rsid w:val="613A1697"/>
    <w:rsid w:val="61614E76"/>
    <w:rsid w:val="617A1A94"/>
    <w:rsid w:val="61860438"/>
    <w:rsid w:val="618E553F"/>
    <w:rsid w:val="619D39D4"/>
    <w:rsid w:val="61C6117D"/>
    <w:rsid w:val="62056F76"/>
    <w:rsid w:val="62143C96"/>
    <w:rsid w:val="621912AD"/>
    <w:rsid w:val="62214605"/>
    <w:rsid w:val="62344338"/>
    <w:rsid w:val="623B7383"/>
    <w:rsid w:val="624520A2"/>
    <w:rsid w:val="625E5182"/>
    <w:rsid w:val="626A5FAC"/>
    <w:rsid w:val="627D5CDF"/>
    <w:rsid w:val="628C5F22"/>
    <w:rsid w:val="628D3A49"/>
    <w:rsid w:val="62976675"/>
    <w:rsid w:val="629F1D70"/>
    <w:rsid w:val="62AF1C11"/>
    <w:rsid w:val="62F31AFE"/>
    <w:rsid w:val="62FA7A5D"/>
    <w:rsid w:val="62FF4946"/>
    <w:rsid w:val="63161C90"/>
    <w:rsid w:val="631B2E02"/>
    <w:rsid w:val="631D2D93"/>
    <w:rsid w:val="632C14B3"/>
    <w:rsid w:val="63690012"/>
    <w:rsid w:val="636F06C5"/>
    <w:rsid w:val="63716EC6"/>
    <w:rsid w:val="6378483D"/>
    <w:rsid w:val="63A63525"/>
    <w:rsid w:val="63A6641E"/>
    <w:rsid w:val="63B15515"/>
    <w:rsid w:val="63B3128D"/>
    <w:rsid w:val="63BD3EBA"/>
    <w:rsid w:val="63C7091D"/>
    <w:rsid w:val="641E0DFC"/>
    <w:rsid w:val="645B027A"/>
    <w:rsid w:val="64664551"/>
    <w:rsid w:val="64992B79"/>
    <w:rsid w:val="64A532CB"/>
    <w:rsid w:val="64AD2180"/>
    <w:rsid w:val="64B9162B"/>
    <w:rsid w:val="64CA39A1"/>
    <w:rsid w:val="64D92F75"/>
    <w:rsid w:val="64E42046"/>
    <w:rsid w:val="64E4239C"/>
    <w:rsid w:val="65233E57"/>
    <w:rsid w:val="65404DA2"/>
    <w:rsid w:val="655F4400"/>
    <w:rsid w:val="65652A5B"/>
    <w:rsid w:val="65A73073"/>
    <w:rsid w:val="65AC2438"/>
    <w:rsid w:val="65BD4645"/>
    <w:rsid w:val="65DF6369"/>
    <w:rsid w:val="65EB11B2"/>
    <w:rsid w:val="66014531"/>
    <w:rsid w:val="660404C6"/>
    <w:rsid w:val="660B53B0"/>
    <w:rsid w:val="660B715E"/>
    <w:rsid w:val="660D048C"/>
    <w:rsid w:val="663E7534"/>
    <w:rsid w:val="66434B4A"/>
    <w:rsid w:val="666B00B9"/>
    <w:rsid w:val="666F3B91"/>
    <w:rsid w:val="666F593F"/>
    <w:rsid w:val="66750B49"/>
    <w:rsid w:val="6692162D"/>
    <w:rsid w:val="66A91BD9"/>
    <w:rsid w:val="66B9305E"/>
    <w:rsid w:val="66CD2666"/>
    <w:rsid w:val="66E83943"/>
    <w:rsid w:val="67087B42"/>
    <w:rsid w:val="67095D94"/>
    <w:rsid w:val="671D183F"/>
    <w:rsid w:val="672C7CD4"/>
    <w:rsid w:val="67386679"/>
    <w:rsid w:val="67424E02"/>
    <w:rsid w:val="675D1C3B"/>
    <w:rsid w:val="675D7E8D"/>
    <w:rsid w:val="67640B35"/>
    <w:rsid w:val="6779459B"/>
    <w:rsid w:val="67806BDF"/>
    <w:rsid w:val="6787315C"/>
    <w:rsid w:val="6791456F"/>
    <w:rsid w:val="67915D89"/>
    <w:rsid w:val="6793565D"/>
    <w:rsid w:val="67AE2497"/>
    <w:rsid w:val="67C779FD"/>
    <w:rsid w:val="67D16185"/>
    <w:rsid w:val="67DD0FCE"/>
    <w:rsid w:val="67DF43BD"/>
    <w:rsid w:val="67E73BFB"/>
    <w:rsid w:val="67FF2CF3"/>
    <w:rsid w:val="68040309"/>
    <w:rsid w:val="68134AF3"/>
    <w:rsid w:val="68190258"/>
    <w:rsid w:val="6829216D"/>
    <w:rsid w:val="687A1DDA"/>
    <w:rsid w:val="689478DF"/>
    <w:rsid w:val="68C9702B"/>
    <w:rsid w:val="68DC443B"/>
    <w:rsid w:val="690D5DE7"/>
    <w:rsid w:val="6918107B"/>
    <w:rsid w:val="69190D52"/>
    <w:rsid w:val="692769A5"/>
    <w:rsid w:val="693E5EAC"/>
    <w:rsid w:val="695B03FD"/>
    <w:rsid w:val="69630ADE"/>
    <w:rsid w:val="69643755"/>
    <w:rsid w:val="696574CD"/>
    <w:rsid w:val="698931BC"/>
    <w:rsid w:val="698F00A6"/>
    <w:rsid w:val="69A91168"/>
    <w:rsid w:val="69BB0E9B"/>
    <w:rsid w:val="69BF37A7"/>
    <w:rsid w:val="69D34437"/>
    <w:rsid w:val="69D41F5D"/>
    <w:rsid w:val="69E93FF4"/>
    <w:rsid w:val="69EB79D2"/>
    <w:rsid w:val="69F04FE9"/>
    <w:rsid w:val="6A162576"/>
    <w:rsid w:val="6A1C4030"/>
    <w:rsid w:val="6A211646"/>
    <w:rsid w:val="6A366774"/>
    <w:rsid w:val="6A3F387A"/>
    <w:rsid w:val="6A3F7D1E"/>
    <w:rsid w:val="6A4946F9"/>
    <w:rsid w:val="6A4B0471"/>
    <w:rsid w:val="6A771266"/>
    <w:rsid w:val="6A935974"/>
    <w:rsid w:val="6A976A4E"/>
    <w:rsid w:val="6AAB7162"/>
    <w:rsid w:val="6AC16149"/>
    <w:rsid w:val="6AC36259"/>
    <w:rsid w:val="6AC83870"/>
    <w:rsid w:val="6AD20B92"/>
    <w:rsid w:val="6AD761A9"/>
    <w:rsid w:val="6AE1235B"/>
    <w:rsid w:val="6AF503DD"/>
    <w:rsid w:val="6AF74155"/>
    <w:rsid w:val="6AFA3EE6"/>
    <w:rsid w:val="6B1A340E"/>
    <w:rsid w:val="6B234374"/>
    <w:rsid w:val="6B272C8C"/>
    <w:rsid w:val="6B2D401B"/>
    <w:rsid w:val="6B37171D"/>
    <w:rsid w:val="6B581098"/>
    <w:rsid w:val="6B7A41CC"/>
    <w:rsid w:val="6BA22313"/>
    <w:rsid w:val="6BF32B6E"/>
    <w:rsid w:val="6BF73F0A"/>
    <w:rsid w:val="6C035EBC"/>
    <w:rsid w:val="6C0F0FE6"/>
    <w:rsid w:val="6C186A79"/>
    <w:rsid w:val="6C1C2757"/>
    <w:rsid w:val="6C270D0A"/>
    <w:rsid w:val="6C2C6080"/>
    <w:rsid w:val="6C335661"/>
    <w:rsid w:val="6C3A2D3B"/>
    <w:rsid w:val="6C3E3165"/>
    <w:rsid w:val="6C4024F7"/>
    <w:rsid w:val="6C4A05C8"/>
    <w:rsid w:val="6C660E22"/>
    <w:rsid w:val="6C6770B8"/>
    <w:rsid w:val="6CAF118B"/>
    <w:rsid w:val="6CE34991"/>
    <w:rsid w:val="6CF03552"/>
    <w:rsid w:val="6D203E37"/>
    <w:rsid w:val="6D371181"/>
    <w:rsid w:val="6D396CA7"/>
    <w:rsid w:val="6D3B1A89"/>
    <w:rsid w:val="6D3B2A1F"/>
    <w:rsid w:val="6D4F64CA"/>
    <w:rsid w:val="6D543AE1"/>
    <w:rsid w:val="6D57537F"/>
    <w:rsid w:val="6D655CEE"/>
    <w:rsid w:val="6D837F22"/>
    <w:rsid w:val="6D8D0DA1"/>
    <w:rsid w:val="6DA85BDA"/>
    <w:rsid w:val="6DC42A14"/>
    <w:rsid w:val="6DEA4D14"/>
    <w:rsid w:val="6E2A4841"/>
    <w:rsid w:val="6E3A0F28"/>
    <w:rsid w:val="6E970129"/>
    <w:rsid w:val="6EAC5256"/>
    <w:rsid w:val="6EBD1212"/>
    <w:rsid w:val="6EDA1DC4"/>
    <w:rsid w:val="6F03131A"/>
    <w:rsid w:val="6F4436E1"/>
    <w:rsid w:val="6F9E7295"/>
    <w:rsid w:val="6FB72105"/>
    <w:rsid w:val="6FBA1067"/>
    <w:rsid w:val="6FC447D3"/>
    <w:rsid w:val="6FE06B58"/>
    <w:rsid w:val="6FE80510"/>
    <w:rsid w:val="70026563"/>
    <w:rsid w:val="70057314"/>
    <w:rsid w:val="702754DC"/>
    <w:rsid w:val="703B1137"/>
    <w:rsid w:val="704F058F"/>
    <w:rsid w:val="705160B5"/>
    <w:rsid w:val="706202C3"/>
    <w:rsid w:val="706A1AA4"/>
    <w:rsid w:val="706E54B1"/>
    <w:rsid w:val="70932B72"/>
    <w:rsid w:val="70B0102E"/>
    <w:rsid w:val="70C96594"/>
    <w:rsid w:val="70CE7706"/>
    <w:rsid w:val="70DE09DD"/>
    <w:rsid w:val="71107D1F"/>
    <w:rsid w:val="712C417C"/>
    <w:rsid w:val="713779A1"/>
    <w:rsid w:val="71581D09"/>
    <w:rsid w:val="717F6C52"/>
    <w:rsid w:val="71956476"/>
    <w:rsid w:val="71BE3C1E"/>
    <w:rsid w:val="71BF4EC2"/>
    <w:rsid w:val="71CB17A6"/>
    <w:rsid w:val="71D14601"/>
    <w:rsid w:val="71F907B3"/>
    <w:rsid w:val="72005FE5"/>
    <w:rsid w:val="72084E9A"/>
    <w:rsid w:val="720D0657"/>
    <w:rsid w:val="720D13B2"/>
    <w:rsid w:val="72133F6A"/>
    <w:rsid w:val="722F3799"/>
    <w:rsid w:val="725956F5"/>
    <w:rsid w:val="7262714A"/>
    <w:rsid w:val="72734D90"/>
    <w:rsid w:val="72A9667D"/>
    <w:rsid w:val="72B50B7E"/>
    <w:rsid w:val="72BB3CBA"/>
    <w:rsid w:val="72F571CC"/>
    <w:rsid w:val="730B69EF"/>
    <w:rsid w:val="73191C23"/>
    <w:rsid w:val="732C6241"/>
    <w:rsid w:val="73326672"/>
    <w:rsid w:val="733F1703"/>
    <w:rsid w:val="73412411"/>
    <w:rsid w:val="735A7977"/>
    <w:rsid w:val="735C4685"/>
    <w:rsid w:val="736600CA"/>
    <w:rsid w:val="73852C46"/>
    <w:rsid w:val="738A200A"/>
    <w:rsid w:val="73A66718"/>
    <w:rsid w:val="73E57241"/>
    <w:rsid w:val="73F1300D"/>
    <w:rsid w:val="7412278C"/>
    <w:rsid w:val="743957DE"/>
    <w:rsid w:val="744F5002"/>
    <w:rsid w:val="7452064E"/>
    <w:rsid w:val="74736F42"/>
    <w:rsid w:val="747B1953"/>
    <w:rsid w:val="74911176"/>
    <w:rsid w:val="74A40EAA"/>
    <w:rsid w:val="74DB14EF"/>
    <w:rsid w:val="74F040EF"/>
    <w:rsid w:val="74FA4F6E"/>
    <w:rsid w:val="74FF1335"/>
    <w:rsid w:val="75045DEC"/>
    <w:rsid w:val="752B64AC"/>
    <w:rsid w:val="756B7C19"/>
    <w:rsid w:val="756C20C8"/>
    <w:rsid w:val="758111EB"/>
    <w:rsid w:val="7581743D"/>
    <w:rsid w:val="75826D11"/>
    <w:rsid w:val="758F6705"/>
    <w:rsid w:val="759D7D76"/>
    <w:rsid w:val="75C31803"/>
    <w:rsid w:val="75CB06B8"/>
    <w:rsid w:val="75E10FA4"/>
    <w:rsid w:val="75FB7FE4"/>
    <w:rsid w:val="76045978"/>
    <w:rsid w:val="760E3AB3"/>
    <w:rsid w:val="762A53DF"/>
    <w:rsid w:val="767E5FFC"/>
    <w:rsid w:val="76832D41"/>
    <w:rsid w:val="76876CD5"/>
    <w:rsid w:val="76911902"/>
    <w:rsid w:val="76C577FD"/>
    <w:rsid w:val="76D21489"/>
    <w:rsid w:val="77130569"/>
    <w:rsid w:val="771658A6"/>
    <w:rsid w:val="77185B7F"/>
    <w:rsid w:val="771A5453"/>
    <w:rsid w:val="772E0EFE"/>
    <w:rsid w:val="773D3837"/>
    <w:rsid w:val="774E7DCB"/>
    <w:rsid w:val="775B70DB"/>
    <w:rsid w:val="775C3ADA"/>
    <w:rsid w:val="77613082"/>
    <w:rsid w:val="77843214"/>
    <w:rsid w:val="778E7071"/>
    <w:rsid w:val="77935205"/>
    <w:rsid w:val="77BA09E4"/>
    <w:rsid w:val="77BF06B4"/>
    <w:rsid w:val="77C73F63"/>
    <w:rsid w:val="77C90C27"/>
    <w:rsid w:val="77C953D0"/>
    <w:rsid w:val="77D2613B"/>
    <w:rsid w:val="77DA64C1"/>
    <w:rsid w:val="77DC6BAC"/>
    <w:rsid w:val="77F4039A"/>
    <w:rsid w:val="78017D29"/>
    <w:rsid w:val="78036793"/>
    <w:rsid w:val="78250C42"/>
    <w:rsid w:val="78442A15"/>
    <w:rsid w:val="78743289"/>
    <w:rsid w:val="78941235"/>
    <w:rsid w:val="789D458E"/>
    <w:rsid w:val="78A0407E"/>
    <w:rsid w:val="78B31BEE"/>
    <w:rsid w:val="78F10436"/>
    <w:rsid w:val="78FC3213"/>
    <w:rsid w:val="79010C44"/>
    <w:rsid w:val="791660EE"/>
    <w:rsid w:val="791D122B"/>
    <w:rsid w:val="79426EE3"/>
    <w:rsid w:val="79522C7A"/>
    <w:rsid w:val="79675A46"/>
    <w:rsid w:val="796E5D32"/>
    <w:rsid w:val="79936197"/>
    <w:rsid w:val="79984D55"/>
    <w:rsid w:val="79A454A8"/>
    <w:rsid w:val="79A606C7"/>
    <w:rsid w:val="79CB512B"/>
    <w:rsid w:val="79D55FA9"/>
    <w:rsid w:val="79D833A4"/>
    <w:rsid w:val="79E7B28D"/>
    <w:rsid w:val="7A0423D2"/>
    <w:rsid w:val="7A115070"/>
    <w:rsid w:val="7A440A39"/>
    <w:rsid w:val="7A4A673C"/>
    <w:rsid w:val="7AD149C3"/>
    <w:rsid w:val="7ADD1C92"/>
    <w:rsid w:val="7AF20495"/>
    <w:rsid w:val="7AF34939"/>
    <w:rsid w:val="7B0326A2"/>
    <w:rsid w:val="7B2014A6"/>
    <w:rsid w:val="7B241AA6"/>
    <w:rsid w:val="7B364826"/>
    <w:rsid w:val="7B3A4316"/>
    <w:rsid w:val="7B4E7DC1"/>
    <w:rsid w:val="7B542EFE"/>
    <w:rsid w:val="7B784E3E"/>
    <w:rsid w:val="7B8B4B71"/>
    <w:rsid w:val="7B9217D8"/>
    <w:rsid w:val="7B974D78"/>
    <w:rsid w:val="7B9A3006"/>
    <w:rsid w:val="7BAD3552"/>
    <w:rsid w:val="7BAF1A00"/>
    <w:rsid w:val="7BB10350"/>
    <w:rsid w:val="7BF546E1"/>
    <w:rsid w:val="7BFC781D"/>
    <w:rsid w:val="7C232FFC"/>
    <w:rsid w:val="7C286864"/>
    <w:rsid w:val="7C364721"/>
    <w:rsid w:val="7C612160"/>
    <w:rsid w:val="7C662EE9"/>
    <w:rsid w:val="7C6D5616"/>
    <w:rsid w:val="7C7F5CA8"/>
    <w:rsid w:val="7C893A9F"/>
    <w:rsid w:val="7C8E41ED"/>
    <w:rsid w:val="7CAD0B17"/>
    <w:rsid w:val="7CBB1486"/>
    <w:rsid w:val="7CCD740C"/>
    <w:rsid w:val="7CD6006E"/>
    <w:rsid w:val="7CE04A49"/>
    <w:rsid w:val="7CFE75C5"/>
    <w:rsid w:val="7D1523CF"/>
    <w:rsid w:val="7D8555F0"/>
    <w:rsid w:val="7D8C697F"/>
    <w:rsid w:val="7D917A20"/>
    <w:rsid w:val="7DB83C18"/>
    <w:rsid w:val="7DBE4F88"/>
    <w:rsid w:val="7DBF0B02"/>
    <w:rsid w:val="7DD37719"/>
    <w:rsid w:val="7DE22A43"/>
    <w:rsid w:val="7DF369FE"/>
    <w:rsid w:val="7DF84014"/>
    <w:rsid w:val="7E05379E"/>
    <w:rsid w:val="7E1370A0"/>
    <w:rsid w:val="7E3F39F1"/>
    <w:rsid w:val="7EA41343"/>
    <w:rsid w:val="7EC11FCF"/>
    <w:rsid w:val="7EE7797D"/>
    <w:rsid w:val="7EF02F3D"/>
    <w:rsid w:val="7EFD18A2"/>
    <w:rsid w:val="7F0013D2"/>
    <w:rsid w:val="7F207CC7"/>
    <w:rsid w:val="7F7818B1"/>
    <w:rsid w:val="7F7D2A23"/>
    <w:rsid w:val="7F7F2C3F"/>
    <w:rsid w:val="7F9F20EE"/>
    <w:rsid w:val="7FBF128D"/>
    <w:rsid w:val="7FD4460D"/>
    <w:rsid w:val="7FFF168A"/>
    <w:rsid w:val="9E3A10E2"/>
    <w:rsid w:val="DCFB7907"/>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1 Char"/>
    <w:basedOn w:val="13"/>
    <w:link w:val="3"/>
    <w:qFormat/>
    <w:uiPriority w:val="9"/>
    <w:rPr>
      <w:rFonts w:ascii="Times New Roman" w:hAnsi="Times New Roman"/>
      <w:b/>
      <w:bCs/>
      <w:kern w:val="44"/>
      <w:sz w:val="44"/>
      <w:szCs w:val="44"/>
    </w:rPr>
  </w:style>
  <w:style w:type="character" w:customStyle="1" w:styleId="17">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18">
    <w:name w:val="标题 3 Char"/>
    <w:basedOn w:val="13"/>
    <w:link w:val="5"/>
    <w:qFormat/>
    <w:uiPriority w:val="9"/>
    <w:rPr>
      <w:rFonts w:ascii="Times New Roman" w:hAnsi="Times New Roman"/>
      <w:b/>
      <w:bCs/>
      <w:kern w:val="2"/>
      <w:sz w:val="32"/>
      <w:szCs w:val="32"/>
    </w:rPr>
  </w:style>
  <w:style w:type="character" w:customStyle="1" w:styleId="19">
    <w:name w:val="Header Char"/>
    <w:basedOn w:val="13"/>
    <w:semiHidden/>
    <w:qFormat/>
    <w:uiPriority w:val="99"/>
    <w:rPr>
      <w:rFonts w:ascii="Times New Roman" w:hAnsi="Times New Roman"/>
      <w:sz w:val="18"/>
      <w:szCs w:val="18"/>
    </w:rPr>
  </w:style>
  <w:style w:type="character" w:customStyle="1" w:styleId="20">
    <w:name w:val="页眉 Char"/>
    <w:link w:val="9"/>
    <w:semiHidden/>
    <w:qFormat/>
    <w:locked/>
    <w:uiPriority w:val="99"/>
    <w:rPr>
      <w:sz w:val="18"/>
    </w:rPr>
  </w:style>
  <w:style w:type="character" w:customStyle="1" w:styleId="21">
    <w:name w:val="Footer Char"/>
    <w:basedOn w:val="13"/>
    <w:semiHidden/>
    <w:qFormat/>
    <w:uiPriority w:val="99"/>
    <w:rPr>
      <w:rFonts w:ascii="Times New Roman" w:hAnsi="Times New Roman"/>
      <w:sz w:val="18"/>
      <w:szCs w:val="18"/>
    </w:rPr>
  </w:style>
  <w:style w:type="character" w:customStyle="1" w:styleId="22">
    <w:name w:val="页脚 Char"/>
    <w:link w:val="8"/>
    <w:qFormat/>
    <w:locked/>
    <w:uiPriority w:val="99"/>
    <w:rPr>
      <w:sz w:val="18"/>
    </w:rPr>
  </w:style>
  <w:style w:type="character" w:customStyle="1" w:styleId="23">
    <w:name w:val="Body Text Char"/>
    <w:basedOn w:val="13"/>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Heading 1 Char"/>
    <w:basedOn w:val="13"/>
    <w:link w:val="3"/>
    <w:qFormat/>
    <w:locked/>
    <w:uiPriority w:val="99"/>
    <w:rPr>
      <w:rFonts w:ascii="Times New Roman" w:hAnsi="Times New Roman" w:cs="Times New Roman"/>
      <w:b/>
      <w:bCs/>
      <w:kern w:val="44"/>
      <w:sz w:val="44"/>
      <w:szCs w:val="44"/>
    </w:rPr>
  </w:style>
  <w:style w:type="character" w:customStyle="1" w:styleId="31">
    <w:name w:val="Heading 2 Char"/>
    <w:basedOn w:val="13"/>
    <w:link w:val="4"/>
    <w:qFormat/>
    <w:locked/>
    <w:uiPriority w:val="99"/>
    <w:rPr>
      <w:rFonts w:ascii="Cambria" w:hAnsi="Cambria" w:eastAsia="宋体" w:cs="Times New Roman"/>
      <w:b/>
      <w:bCs/>
      <w:kern w:val="2"/>
      <w:sz w:val="32"/>
      <w:szCs w:val="32"/>
    </w:rPr>
  </w:style>
  <w:style w:type="character" w:customStyle="1" w:styleId="32">
    <w:name w:val="font01"/>
    <w:basedOn w:val="1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D:\&#26700;&#38754;\&#26032;&#25913;&#32500;&#20462;&#2133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6700;&#38754;\&#26032;&#25913;&#32500;&#20462;&#2133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6700;&#38754;\&#26032;&#25913;&#32500;&#20462;&#2133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6700;&#38754;\&#26032;&#25913;&#32500;&#20462;&#2133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6700;&#38754;\&#26032;&#25913;&#32500;&#20462;&#2133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6700;&#38754;\&#26032;&#25913;&#32500;&#20462;&#2133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19971;&#22812;\Desktop\2022&#24180;&#20915;&#31639;&#23457;&#26680;&#22270;&#310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ysClr val="windowText" lastClr="000000">
                    <a:lumMod val="75000"/>
                    <a:lumOff val="25000"/>
                  </a:sys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[新改维修单.xlsx]Sheet2!$A$1:$A$2</c:f>
              <c:strCache>
                <c:ptCount val="2"/>
                <c:pt idx="0">
                  <c:v>2021年</c:v>
                </c:pt>
                <c:pt idx="1">
                  <c:v>2022年</c:v>
                </c:pt>
              </c:strCache>
            </c:strRef>
          </c:cat>
          <c:val>
            <c:numRef>
              <c:f>[新改维修单.xlsx]Sheet2!$B$1:$B$2</c:f>
              <c:numCache>
                <c:formatCode>General</c:formatCode>
                <c:ptCount val="2"/>
                <c:pt idx="0">
                  <c:v>2215.69</c:v>
                </c:pt>
                <c:pt idx="1">
                  <c:v>903.84</c:v>
                </c:pt>
              </c:numCache>
            </c:numRef>
          </c:val>
        </c:ser>
        <c:dLbls>
          <c:showLegendKey val="0"/>
          <c:showVal val="1"/>
          <c:showCatName val="0"/>
          <c:showSerName val="0"/>
          <c:showPercent val="0"/>
          <c:showBubbleSize val="0"/>
        </c:dLbls>
        <c:gapWidth val="246"/>
        <c:overlap val="-28"/>
        <c:axId val="47691963"/>
        <c:axId val="409039205"/>
      </c:barChart>
      <c:catAx>
        <c:axId val="47691963"/>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09039205"/>
        <c:crosses val="autoZero"/>
        <c:auto val="1"/>
        <c:lblAlgn val="ctr"/>
        <c:lblOffset val="100"/>
        <c:noMultiLvlLbl val="0"/>
      </c:catAx>
      <c:valAx>
        <c:axId val="409039205"/>
        <c:scaling>
          <c:orientation val="minMax"/>
        </c:scaling>
        <c:delete val="0"/>
        <c:axPos val="l"/>
        <c:majorGridlines>
          <c:spPr>
            <a:ln w="9525" cap="flat" cmpd="sng" algn="ctr">
              <a:solidFill>
                <a:sysClr val="window" lastClr="FFFFFF">
                  <a:lumMod val="90200"/>
                </a:sys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7691963"/>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[新改维修单.xlsx]Sheet2!$A$9:$A$10</c:f>
              <c:strCache>
                <c:ptCount val="2"/>
                <c:pt idx="0">
                  <c:v>一般公共预算财政拨款收入</c:v>
                </c:pt>
                <c:pt idx="1">
                  <c:v>其他收入</c:v>
                </c:pt>
              </c:strCache>
            </c:strRef>
          </c:cat>
          <c:val>
            <c:numRef>
              <c:f>[新改维修单.xlsx]Sheet2!$B$9:$B$10</c:f>
              <c:numCache>
                <c:formatCode>0.00%</c:formatCode>
                <c:ptCount val="2"/>
                <c:pt idx="0">
                  <c:v>0.9997</c:v>
                </c:pt>
                <c:pt idx="1">
                  <c:v>0.0003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[新改维修单.xlsx]Sheet2!$A$13:$A$14</c:f>
              <c:strCache>
                <c:ptCount val="2"/>
                <c:pt idx="0">
                  <c:v>基本支出</c:v>
                </c:pt>
                <c:pt idx="1">
                  <c:v>项目支出</c:v>
                </c:pt>
              </c:strCache>
            </c:strRef>
          </c:cat>
          <c:val>
            <c:numRef>
              <c:f>[新改维修单.xlsx]Sheet2!$B$13:$B$14</c:f>
              <c:numCache>
                <c:formatCode>0.00%</c:formatCode>
                <c:ptCount val="2"/>
                <c:pt idx="0">
                  <c:v>0.5019</c:v>
                </c:pt>
                <c:pt idx="1">
                  <c:v>0.4981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[新改维修单.xlsx]Sheet2!$A$1:$A$2</c:f>
              <c:strCache>
                <c:ptCount val="2"/>
                <c:pt idx="0">
                  <c:v>2021年</c:v>
                </c:pt>
                <c:pt idx="1">
                  <c:v>2022年</c:v>
                </c:pt>
              </c:strCache>
            </c:strRef>
          </c:cat>
          <c:val>
            <c:numRef>
              <c:f>[新改维修单.xlsx]Sheet2!$B$1:$B$2</c:f>
              <c:numCache>
                <c:formatCode>General</c:formatCode>
                <c:ptCount val="2"/>
                <c:pt idx="0">
                  <c:v>2164.94</c:v>
                </c:pt>
                <c:pt idx="1">
                  <c:v>852.9</c:v>
                </c:pt>
              </c:numCache>
            </c:numRef>
          </c:val>
        </c:ser>
        <c:dLbls>
          <c:showLegendKey val="0"/>
          <c:showVal val="1"/>
          <c:showCatName val="0"/>
          <c:showSerName val="0"/>
          <c:showPercent val="0"/>
          <c:showBubbleSize val="0"/>
        </c:dLbls>
        <c:gapWidth val="246"/>
        <c:overlap val="-28"/>
        <c:axId val="321459024"/>
        <c:axId val="353360486"/>
      </c:barChart>
      <c:catAx>
        <c:axId val="3214590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360486"/>
        <c:crosses val="autoZero"/>
        <c:auto val="1"/>
        <c:lblAlgn val="ctr"/>
        <c:lblOffset val="100"/>
        <c:noMultiLvlLbl val="0"/>
      </c:catAx>
      <c:valAx>
        <c:axId val="35336048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145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manualLayout>
          <c:xMode val="edge"/>
          <c:yMode val="edge"/>
          <c:x val="0.140657894736842"/>
          <c:y val="0.0069444444444444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[新改维修单.xlsx]Sheet2!$A$1:$A$2</c:f>
              <c:strCache>
                <c:ptCount val="2"/>
                <c:pt idx="0">
                  <c:v>2021年</c:v>
                </c:pt>
                <c:pt idx="1">
                  <c:v>2022年</c:v>
                </c:pt>
              </c:strCache>
            </c:strRef>
          </c:cat>
          <c:val>
            <c:numRef>
              <c:f>[新改维修单.xlsx]Sheet2!$B$1:$B$2</c:f>
              <c:numCache>
                <c:formatCode>General</c:formatCode>
                <c:ptCount val="2"/>
                <c:pt idx="0">
                  <c:v>1627.83</c:v>
                </c:pt>
                <c:pt idx="1">
                  <c:v>742.64</c:v>
                </c:pt>
              </c:numCache>
            </c:numRef>
          </c:val>
        </c:ser>
        <c:dLbls>
          <c:showLegendKey val="0"/>
          <c:showVal val="1"/>
          <c:showCatName val="0"/>
          <c:showSerName val="0"/>
          <c:showPercent val="0"/>
          <c:showBubbleSize val="0"/>
        </c:dLbls>
        <c:gapWidth val="246"/>
        <c:overlap val="-28"/>
        <c:axId val="468452527"/>
        <c:axId val="871581542"/>
      </c:barChart>
      <c:catAx>
        <c:axId val="4684525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581542"/>
        <c:crosses val="autoZero"/>
        <c:auto val="1"/>
        <c:lblAlgn val="ctr"/>
        <c:lblOffset val="100"/>
        <c:noMultiLvlLbl val="0"/>
      </c:catAx>
      <c:valAx>
        <c:axId val="87158154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4525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[新改维修单.xlsx]Sheet2!$A$18:$A$21</c:f>
              <c:strCache>
                <c:ptCount val="4"/>
                <c:pt idx="0">
                  <c:v>文化旅游体育与传媒支出</c:v>
                </c:pt>
                <c:pt idx="1">
                  <c:v>社会保障和就业支出</c:v>
                </c:pt>
                <c:pt idx="2">
                  <c:v>卫生健康支出</c:v>
                </c:pt>
                <c:pt idx="3">
                  <c:v>住房保障支出</c:v>
                </c:pt>
              </c:strCache>
            </c:strRef>
          </c:cat>
          <c:val>
            <c:numRef>
              <c:f>[新改维修单.xlsx]Sheet2!$B$18:$B$21</c:f>
              <c:numCache>
                <c:formatCode>0.00%</c:formatCode>
                <c:ptCount val="4"/>
                <c:pt idx="0">
                  <c:v>0.9066</c:v>
                </c:pt>
                <c:pt idx="1">
                  <c:v>0.0364</c:v>
                </c:pt>
                <c:pt idx="2">
                  <c:v>0.0146</c:v>
                </c:pt>
                <c:pt idx="3">
                  <c:v>0.0424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r>
              <a:t>“三公”经费财政拨款支出结构</a:t>
            </a:r>
          </a:p>
        </c:rich>
      </c:tx>
      <c:layout>
        <c:manualLayout>
          <c:xMode val="edge"/>
          <c:yMode val="edge"/>
          <c:x val="0.239192729680878"/>
          <c:y val="0.0485544347173354"/>
        </c:manualLayout>
      </c:layout>
      <c:overlay val="0"/>
      <c:spPr>
        <a:noFill/>
        <a:ln>
          <a:noFill/>
        </a:ln>
        <a:effectLst/>
      </c:spPr>
    </c:title>
    <c:autoTitleDeleted val="0"/>
    <c:plotArea>
      <c:layout/>
      <c:pieChart>
        <c:varyColors val="1"/>
        <c:ser>
          <c:idx val="0"/>
          <c:order val="0"/>
          <c:tx>
            <c:strRef>
              <c:f>[2022年决算审核图示.xlsx]Sheet1!$B$1</c:f>
              <c:strCache>
                <c:ptCount val="1"/>
                <c:pt idx="0">
                  <c:v>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17559153175592"/>
                  <c:y val="-0.009827357237715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0778331257783"/>
                      <c:h val="0.270916334661355"/>
                    </c:manualLayout>
                  </c15:layout>
                </c:ext>
              </c:extLst>
            </c:dLbl>
            <c:dLbl>
              <c:idx val="2"/>
              <c:layout>
                <c:manualLayout>
                  <c:x val="-0.233499377334994"/>
                  <c:y val="0.073837981407702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[2022年决算审核图示.xlsx]Sheet1!$A$2:$A$4</c:f>
              <c:strCache>
                <c:ptCount val="3"/>
                <c:pt idx="0">
                  <c:v>因公出国（境）费</c:v>
                </c:pt>
                <c:pt idx="1">
                  <c:v>公务用车购置及运行维护费  </c:v>
                </c:pt>
                <c:pt idx="2">
                  <c:v>公务接待费</c:v>
                </c:pt>
              </c:strCache>
            </c:strRef>
          </c:cat>
          <c:val>
            <c:numRef>
              <c:f>[2022年决算审核图示.xlsx]Sheet1!$B$2:$B$4</c:f>
              <c:numCache>
                <c:formatCode>General</c:formatCode>
                <c:ptCount val="3"/>
                <c:pt idx="1">
                  <c:v>2.2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32</Pages>
  <Words>11867</Words>
  <Characters>13316</Characters>
  <Lines>61</Lines>
  <Paragraphs>17</Paragraphs>
  <TotalTime>11</TotalTime>
  <ScaleCrop>false</ScaleCrop>
  <LinksUpToDate>false</LinksUpToDate>
  <CharactersWithSpaces>14233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土匪唱情歌</cp:lastModifiedBy>
  <cp:lastPrinted>2023-07-31T10:35:00Z</cp:lastPrinted>
  <dcterms:modified xsi:type="dcterms:W3CDTF">2023-10-18T02:08:57Z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8236DF18C5B1442A91226605B71F4845_12</vt:lpwstr>
  </property>
</Properties>
</file>