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olor w:val="auto"/>
          <w:kern w:val="2"/>
          <w:sz w:val="72"/>
          <w:szCs w:val="24"/>
          <w:highlight w:val="none"/>
          <w:lang w:val="zh-CN"/>
        </w:rPr>
      </w:pPr>
      <w:r>
        <w:rPr>
          <w:rFonts w:hint="eastAsia" w:ascii="方正小标宋简体" w:hAnsi="方正小标宋简体" w:eastAsia="方正小标宋简体"/>
          <w:color w:val="auto"/>
          <w:kern w:val="2"/>
          <w:sz w:val="72"/>
          <w:szCs w:val="24"/>
          <w:highlight w:val="none"/>
          <w:lang w:val="zh-CN"/>
        </w:rPr>
        <w:t>2022年度</w:t>
      </w:r>
    </w:p>
    <w:p>
      <w:pPr>
        <w:spacing w:line="360" w:lineRule="auto"/>
        <w:ind w:left="-720" w:leftChars="-300" w:right="-240" w:rightChars="-100" w:firstLine="0" w:firstLineChars="0"/>
        <w:jc w:val="center"/>
        <w:outlineLvl w:val="0"/>
        <w:rPr>
          <w:rFonts w:hint="eastAsia" w:ascii="方正小标宋简体" w:hAnsi="方正小标宋简体" w:eastAsia="方正小标宋简体"/>
          <w:color w:val="auto"/>
          <w:kern w:val="2"/>
          <w:sz w:val="72"/>
          <w:szCs w:val="24"/>
          <w:highlight w:val="none"/>
          <w:lang w:val="zh-CN"/>
        </w:rPr>
      </w:pPr>
      <w:bookmarkStart w:id="0" w:name="_Toc19785"/>
      <w:bookmarkStart w:id="42" w:name="_GoBack"/>
      <w:r>
        <w:rPr>
          <w:rFonts w:hint="eastAsia" w:ascii="方正小标宋简体" w:hAnsi="方正小标宋简体" w:eastAsia="方正小标宋简体"/>
          <w:color w:val="auto"/>
          <w:spacing w:val="-28"/>
          <w:kern w:val="2"/>
          <w:sz w:val="72"/>
          <w:szCs w:val="24"/>
          <w:highlight w:val="none"/>
          <w:lang w:val="zh-CN"/>
        </w:rPr>
        <w:t>广元市非物质文化遗产保护</w:t>
      </w:r>
      <w:r>
        <w:rPr>
          <w:rFonts w:hint="eastAsia" w:ascii="方正小标宋简体" w:hAnsi="方正小标宋简体" w:eastAsia="方正小标宋简体"/>
          <w:color w:val="auto"/>
          <w:kern w:val="2"/>
          <w:sz w:val="72"/>
          <w:szCs w:val="24"/>
          <w:highlight w:val="none"/>
          <w:lang w:val="zh-CN"/>
        </w:rPr>
        <w:t>中心</w:t>
      </w:r>
      <w:bookmarkEnd w:id="42"/>
      <w:r>
        <w:rPr>
          <w:rFonts w:hint="eastAsia" w:ascii="方正小标宋简体" w:hAnsi="方正小标宋简体" w:eastAsia="方正小标宋简体"/>
          <w:color w:val="auto"/>
          <w:kern w:val="2"/>
          <w:sz w:val="72"/>
          <w:szCs w:val="24"/>
          <w:highlight w:val="none"/>
          <w:lang w:val="zh-CN"/>
        </w:rPr>
        <w:t>单位决算</w:t>
      </w:r>
      <w:bookmarkEnd w:id="0"/>
    </w:p>
    <w:p>
      <w:pPr>
        <w:spacing w:line="360" w:lineRule="auto"/>
        <w:jc w:val="center"/>
        <w:rPr>
          <w:rFonts w:hint="eastAsia" w:ascii="方正小标宋简体" w:hAnsi="方正小标宋简体" w:eastAsia="方正小标宋简体"/>
          <w:color w:val="auto"/>
          <w:kern w:val="2"/>
          <w:sz w:val="52"/>
          <w:szCs w:val="24"/>
          <w:highlight w:val="none"/>
          <w:lang w:val="zh-CN"/>
        </w:rPr>
      </w:pPr>
    </w:p>
    <w:p>
      <w:pPr>
        <w:jc w:val="both"/>
        <w:rPr>
          <w:rFonts w:hint="eastAsia" w:ascii="黑体" w:hAnsi="黑体" w:eastAsia="黑体"/>
          <w:color w:val="auto"/>
          <w:kern w:val="2"/>
          <w:sz w:val="48"/>
          <w:szCs w:val="24"/>
          <w:highlight w:val="none"/>
          <w:lang w:val="zh-CN"/>
        </w:rPr>
        <w:sectPr>
          <w:footerReference r:id="rId3" w:type="default"/>
          <w:pgSz w:w="11906" w:h="16838"/>
          <w:pgMar w:top="1440" w:right="1466" w:bottom="1440" w:left="1800" w:header="851" w:footer="992" w:gutter="0"/>
          <w:pgNumType w:fmt="decimal"/>
          <w:cols w:space="425" w:num="1"/>
          <w:docGrid w:type="lines" w:linePitch="312" w:charSpace="0"/>
        </w:sectPr>
      </w:pPr>
    </w:p>
    <w:p>
      <w:pPr>
        <w:jc w:val="center"/>
        <w:rPr>
          <w:rFonts w:hint="eastAsia" w:ascii="Times New Roman" w:hAnsi="Times New Roman" w:eastAsia="Times New Roman"/>
          <w:color w:val="auto"/>
          <w:kern w:val="2"/>
          <w:sz w:val="21"/>
          <w:szCs w:val="24"/>
          <w:highlight w:val="none"/>
          <w:lang w:val="zh-CN"/>
        </w:rPr>
      </w:pPr>
      <w:r>
        <w:rPr>
          <w:rFonts w:hint="eastAsia" w:ascii="黑体" w:hAnsi="黑体" w:eastAsia="黑体"/>
          <w:color w:val="auto"/>
          <w:kern w:val="2"/>
          <w:sz w:val="48"/>
          <w:szCs w:val="24"/>
          <w:highlight w:val="none"/>
          <w:lang w:val="zh-CN"/>
        </w:rPr>
        <w:t>目录</w:t>
      </w:r>
    </w:p>
    <w:p>
      <w:pPr>
        <w:tabs>
          <w:tab w:val="right" w:leader="dot" w:pos="8296"/>
        </w:tabs>
        <w:spacing w:before="93"/>
        <w:jc w:val="center"/>
        <w:rPr>
          <w:rFonts w:hint="eastAsia" w:ascii="Times New Roman" w:hAnsi="Times New Roman" w:eastAsia="Times New Roman"/>
          <w:color w:val="auto"/>
          <w:kern w:val="2"/>
          <w:sz w:val="21"/>
          <w:szCs w:val="24"/>
          <w:highlight w:val="none"/>
          <w:lang w:val="zh-CN"/>
        </w:rPr>
      </w:pPr>
      <w:r>
        <w:rPr>
          <w:rFonts w:hint="eastAsia" w:ascii="仿宋" w:hAnsi="仿宋" w:eastAsia="仿宋"/>
          <w:color w:val="auto"/>
          <w:kern w:val="2"/>
          <w:sz w:val="28"/>
          <w:szCs w:val="24"/>
          <w:highlight w:val="none"/>
          <w:lang w:val="zh-CN"/>
        </w:rPr>
        <w:t>公开时间：2023年</w:t>
      </w:r>
      <w:r>
        <w:rPr>
          <w:rFonts w:hint="eastAsia" w:ascii="仿宋" w:hAnsi="仿宋" w:eastAsia="仿宋"/>
          <w:color w:val="auto"/>
          <w:kern w:val="2"/>
          <w:sz w:val="28"/>
          <w:szCs w:val="24"/>
          <w:highlight w:val="none"/>
          <w:lang w:val="en-US" w:eastAsia="zh-CN"/>
        </w:rPr>
        <w:t>10</w:t>
      </w:r>
      <w:r>
        <w:rPr>
          <w:rFonts w:hint="eastAsia" w:ascii="仿宋" w:hAnsi="仿宋" w:eastAsia="仿宋"/>
          <w:color w:val="auto"/>
          <w:kern w:val="2"/>
          <w:sz w:val="28"/>
          <w:szCs w:val="24"/>
          <w:highlight w:val="none"/>
          <w:lang w:val="zh-CN"/>
        </w:rPr>
        <w:t>月</w:t>
      </w:r>
      <w:r>
        <w:rPr>
          <w:rFonts w:hint="eastAsia" w:ascii="仿宋" w:hAnsi="仿宋" w:eastAsia="仿宋"/>
          <w:color w:val="auto"/>
          <w:kern w:val="2"/>
          <w:sz w:val="28"/>
          <w:szCs w:val="24"/>
          <w:highlight w:val="none"/>
          <w:lang w:val="en-US" w:eastAsia="zh-CN"/>
        </w:rPr>
        <w:t>16</w:t>
      </w:r>
      <w:r>
        <w:rPr>
          <w:rFonts w:hint="eastAsia" w:ascii="仿宋" w:hAnsi="仿宋" w:eastAsia="仿宋"/>
          <w:color w:val="auto"/>
          <w:kern w:val="2"/>
          <w:sz w:val="28"/>
          <w:szCs w:val="24"/>
          <w:highlight w:val="none"/>
          <w:lang w:val="zh-CN"/>
        </w:rPr>
        <w:t>日</w:t>
      </w:r>
    </w:p>
    <w:sdt>
      <w:sdtPr>
        <w:rPr>
          <w:rFonts w:hint="default" w:ascii="宋体" w:hAnsi="宋体" w:eastAsia="宋体" w:cs="Times New Roman"/>
          <w:color w:val="auto"/>
          <w:sz w:val="21"/>
          <w:szCs w:val="24"/>
          <w:highlight w:val="none"/>
        </w:rPr>
        <w:id w:val="147481517"/>
        <w15:color w:val="DBDBDB"/>
        <w:docPartObj>
          <w:docPartGallery w:val="Table of Contents"/>
          <w:docPartUnique/>
        </w:docPartObj>
      </w:sdtPr>
      <w:sdtEndPr>
        <w:rPr>
          <w:rFonts w:hint="default" w:ascii="宋体" w:hAnsi="宋体" w:eastAsia="宋体" w:cs="Times New Roman"/>
          <w:color w:val="auto"/>
          <w:sz w:val="21"/>
          <w:szCs w:val="24"/>
          <w:highlight w:val="none"/>
        </w:rPr>
      </w:sdtEndPr>
      <w:sdtContent>
        <w:p>
          <w:pPr>
            <w:spacing w:before="0" w:beforeLines="0" w:after="0" w:afterLines="0" w:line="240" w:lineRule="auto"/>
            <w:ind w:left="0" w:leftChars="0" w:right="0" w:rightChars="0" w:firstLine="0" w:firstLineChars="0"/>
            <w:jc w:val="center"/>
            <w:rPr>
              <w:color w:val="auto"/>
              <w:highlight w:val="none"/>
            </w:rPr>
          </w:pPr>
        </w:p>
        <w:p>
          <w:pPr>
            <w:pStyle w:val="11"/>
            <w:tabs>
              <w:tab w:val="right" w:leader="dot" w:pos="8306"/>
            </w:tabs>
            <w:rPr>
              <w:color w:val="auto"/>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color w:val="auto"/>
              <w:highlight w:val="none"/>
            </w:rPr>
            <w:instrText xml:space="preserve"> HYPERLINK \l _Toc4017 </w:instrText>
          </w:r>
          <w:r>
            <w:rPr>
              <w:color w:val="auto"/>
              <w:highlight w:val="none"/>
            </w:rPr>
            <w:fldChar w:fldCharType="separate"/>
          </w:r>
          <w:r>
            <w:rPr>
              <w:rFonts w:hint="eastAsia" w:ascii="黑体" w:hAnsi="黑体" w:eastAsia="黑体"/>
              <w:color w:val="auto"/>
              <w:kern w:val="44"/>
              <w:szCs w:val="24"/>
              <w:highlight w:val="none"/>
              <w:lang w:val="zh-CN"/>
            </w:rPr>
            <w:t>第一部分 单位概况</w:t>
          </w:r>
          <w:r>
            <w:rPr>
              <w:color w:val="auto"/>
              <w:highlight w:val="none"/>
            </w:rPr>
            <w:tab/>
          </w:r>
          <w:r>
            <w:rPr>
              <w:color w:val="auto"/>
              <w:highlight w:val="none"/>
            </w:rPr>
            <w:fldChar w:fldCharType="begin"/>
          </w:r>
          <w:r>
            <w:rPr>
              <w:color w:val="auto"/>
              <w:highlight w:val="none"/>
            </w:rPr>
            <w:instrText xml:space="preserve"> PAGEREF _Toc4017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_Toc14577 </w:instrText>
          </w:r>
          <w:r>
            <w:rPr>
              <w:color w:val="auto"/>
              <w:highlight w:val="none"/>
            </w:rPr>
            <w:fldChar w:fldCharType="separate"/>
          </w:r>
          <w:r>
            <w:rPr>
              <w:rFonts w:hint="eastAsia" w:ascii="黑体" w:hAnsi="黑体" w:eastAsia="黑体"/>
              <w:color w:val="auto"/>
              <w:kern w:val="2"/>
              <w:szCs w:val="24"/>
              <w:highlight w:val="none"/>
              <w:lang w:val="zh-CN"/>
            </w:rPr>
            <w:t>一、主要职责</w:t>
          </w:r>
          <w:r>
            <w:rPr>
              <w:color w:val="auto"/>
              <w:highlight w:val="none"/>
            </w:rPr>
            <w:tab/>
          </w:r>
          <w:r>
            <w:rPr>
              <w:color w:val="auto"/>
              <w:highlight w:val="none"/>
            </w:rPr>
            <w:fldChar w:fldCharType="begin"/>
          </w:r>
          <w:r>
            <w:rPr>
              <w:color w:val="auto"/>
              <w:highlight w:val="none"/>
            </w:rPr>
            <w:instrText xml:space="preserve"> PAGEREF _Toc14577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_Toc6010 </w:instrText>
          </w:r>
          <w:r>
            <w:rPr>
              <w:color w:val="auto"/>
              <w:highlight w:val="none"/>
            </w:rPr>
            <w:fldChar w:fldCharType="separate"/>
          </w:r>
          <w:r>
            <w:rPr>
              <w:rFonts w:hint="default" w:ascii="黑体" w:hAnsi="黑体" w:eastAsia="黑体"/>
              <w:color w:val="auto"/>
              <w:kern w:val="2"/>
              <w:szCs w:val="24"/>
              <w:highlight w:val="none"/>
              <w:lang w:val="zh-CN"/>
            </w:rPr>
            <w:t xml:space="preserve">二、 </w:t>
          </w:r>
          <w:r>
            <w:rPr>
              <w:rFonts w:hint="eastAsia" w:ascii="黑体" w:hAnsi="黑体" w:eastAsia="黑体"/>
              <w:color w:val="auto"/>
              <w:kern w:val="2"/>
              <w:szCs w:val="24"/>
              <w:highlight w:val="none"/>
              <w:lang w:val="zh-CN"/>
            </w:rPr>
            <w:t>机构设置</w:t>
          </w:r>
          <w:r>
            <w:rPr>
              <w:color w:val="auto"/>
              <w:highlight w:val="none"/>
            </w:rPr>
            <w:tab/>
          </w:r>
          <w:r>
            <w:rPr>
              <w:color w:val="auto"/>
              <w:highlight w:val="none"/>
            </w:rPr>
            <w:fldChar w:fldCharType="begin"/>
          </w:r>
          <w:r>
            <w:rPr>
              <w:color w:val="auto"/>
              <w:highlight w:val="none"/>
            </w:rPr>
            <w:instrText xml:space="preserve"> PAGEREF _Toc6010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1"/>
            <w:tabs>
              <w:tab w:val="right" w:leader="dot" w:pos="8306"/>
            </w:tabs>
            <w:rPr>
              <w:color w:val="auto"/>
              <w:highlight w:val="none"/>
            </w:rPr>
          </w:pPr>
          <w:r>
            <w:rPr>
              <w:color w:val="auto"/>
              <w:highlight w:val="none"/>
            </w:rPr>
            <w:fldChar w:fldCharType="begin"/>
          </w:r>
          <w:r>
            <w:rPr>
              <w:color w:val="auto"/>
              <w:highlight w:val="none"/>
            </w:rPr>
            <w:instrText xml:space="preserve"> HYPERLINK \l _Toc29065 </w:instrText>
          </w:r>
          <w:r>
            <w:rPr>
              <w:color w:val="auto"/>
              <w:highlight w:val="none"/>
            </w:rPr>
            <w:fldChar w:fldCharType="separate"/>
          </w:r>
          <w:r>
            <w:rPr>
              <w:rFonts w:hint="eastAsia" w:ascii="黑体" w:hAnsi="黑体" w:eastAsia="黑体"/>
              <w:color w:val="auto"/>
              <w:kern w:val="44"/>
              <w:szCs w:val="24"/>
              <w:highlight w:val="none"/>
              <w:lang w:val="zh-CN"/>
            </w:rPr>
            <w:t>第二部分 2022年度单位决算情况说明</w:t>
          </w:r>
          <w:r>
            <w:rPr>
              <w:color w:val="auto"/>
              <w:highlight w:val="none"/>
            </w:rPr>
            <w:tab/>
          </w:r>
          <w:r>
            <w:rPr>
              <w:color w:val="auto"/>
              <w:highlight w:val="none"/>
            </w:rPr>
            <w:fldChar w:fldCharType="begin"/>
          </w:r>
          <w:r>
            <w:rPr>
              <w:color w:val="auto"/>
              <w:highlight w:val="none"/>
            </w:rPr>
            <w:instrText xml:space="preserve"> PAGEREF _Toc29065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_Toc16951 </w:instrText>
          </w:r>
          <w:r>
            <w:rPr>
              <w:color w:val="auto"/>
              <w:highlight w:val="none"/>
            </w:rPr>
            <w:fldChar w:fldCharType="separate"/>
          </w:r>
          <w:r>
            <w:rPr>
              <w:rFonts w:hint="eastAsia" w:ascii="黑体" w:hAnsi="黑体" w:eastAsia="黑体"/>
              <w:color w:val="auto"/>
              <w:kern w:val="2"/>
              <w:szCs w:val="24"/>
              <w:highlight w:val="none"/>
              <w:lang w:val="zh-CN"/>
            </w:rPr>
            <w:t>一、收入支出决算总体情况说明</w:t>
          </w:r>
          <w:r>
            <w:rPr>
              <w:color w:val="auto"/>
              <w:highlight w:val="none"/>
            </w:rPr>
            <w:tab/>
          </w:r>
          <w:r>
            <w:rPr>
              <w:color w:val="auto"/>
              <w:highlight w:val="none"/>
            </w:rPr>
            <w:fldChar w:fldCharType="begin"/>
          </w:r>
          <w:r>
            <w:rPr>
              <w:color w:val="auto"/>
              <w:highlight w:val="none"/>
            </w:rPr>
            <w:instrText xml:space="preserve"> PAGEREF _Toc16951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_Toc11390 </w:instrText>
          </w:r>
          <w:r>
            <w:rPr>
              <w:color w:val="auto"/>
              <w:highlight w:val="none"/>
            </w:rPr>
            <w:fldChar w:fldCharType="separate"/>
          </w:r>
          <w:r>
            <w:rPr>
              <w:rFonts w:hint="eastAsia" w:ascii="黑体" w:hAnsi="黑体" w:eastAsia="黑体"/>
              <w:color w:val="auto"/>
              <w:kern w:val="2"/>
              <w:szCs w:val="24"/>
              <w:highlight w:val="none"/>
              <w:lang w:val="zh-CN"/>
            </w:rPr>
            <w:t>二、收入决算情况说明</w:t>
          </w:r>
          <w:r>
            <w:rPr>
              <w:color w:val="auto"/>
              <w:highlight w:val="none"/>
            </w:rPr>
            <w:tab/>
          </w:r>
          <w:r>
            <w:rPr>
              <w:color w:val="auto"/>
              <w:highlight w:val="none"/>
            </w:rPr>
            <w:fldChar w:fldCharType="begin"/>
          </w:r>
          <w:r>
            <w:rPr>
              <w:color w:val="auto"/>
              <w:highlight w:val="none"/>
            </w:rPr>
            <w:instrText xml:space="preserve"> PAGEREF _Toc11390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_Toc8357 </w:instrText>
          </w:r>
          <w:r>
            <w:rPr>
              <w:color w:val="auto"/>
              <w:highlight w:val="none"/>
            </w:rPr>
            <w:fldChar w:fldCharType="separate"/>
          </w:r>
          <w:r>
            <w:rPr>
              <w:rFonts w:hint="eastAsia" w:ascii="黑体" w:hAnsi="黑体" w:eastAsia="黑体"/>
              <w:color w:val="auto"/>
              <w:kern w:val="2"/>
              <w:szCs w:val="24"/>
              <w:highlight w:val="none"/>
              <w:lang w:val="zh-CN"/>
            </w:rPr>
            <w:t>三、支出决算情况说明</w:t>
          </w:r>
          <w:r>
            <w:rPr>
              <w:color w:val="auto"/>
              <w:highlight w:val="none"/>
            </w:rPr>
            <w:tab/>
          </w:r>
          <w:r>
            <w:rPr>
              <w:color w:val="auto"/>
              <w:highlight w:val="none"/>
            </w:rPr>
            <w:fldChar w:fldCharType="begin"/>
          </w:r>
          <w:r>
            <w:rPr>
              <w:color w:val="auto"/>
              <w:highlight w:val="none"/>
            </w:rPr>
            <w:instrText xml:space="preserve"> PAGEREF _Toc8357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_Toc4971 </w:instrText>
          </w:r>
          <w:r>
            <w:rPr>
              <w:color w:val="auto"/>
              <w:highlight w:val="none"/>
            </w:rPr>
            <w:fldChar w:fldCharType="separate"/>
          </w:r>
          <w:r>
            <w:rPr>
              <w:rFonts w:hint="eastAsia" w:ascii="黑体" w:hAnsi="黑体" w:eastAsia="黑体"/>
              <w:color w:val="auto"/>
              <w:kern w:val="2"/>
              <w:szCs w:val="24"/>
              <w:highlight w:val="none"/>
              <w:lang w:val="zh-CN"/>
            </w:rPr>
            <w:t>四、财政拨款收入支出决算总体情况说明</w:t>
          </w:r>
          <w:r>
            <w:rPr>
              <w:color w:val="auto"/>
              <w:highlight w:val="none"/>
            </w:rPr>
            <w:tab/>
          </w:r>
          <w:r>
            <w:rPr>
              <w:color w:val="auto"/>
              <w:highlight w:val="none"/>
            </w:rPr>
            <w:fldChar w:fldCharType="begin"/>
          </w:r>
          <w:r>
            <w:rPr>
              <w:color w:val="auto"/>
              <w:highlight w:val="none"/>
            </w:rPr>
            <w:instrText xml:space="preserve"> PAGEREF _Toc4971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_Toc21719 </w:instrText>
          </w:r>
          <w:r>
            <w:rPr>
              <w:color w:val="auto"/>
              <w:highlight w:val="none"/>
            </w:rPr>
            <w:fldChar w:fldCharType="separate"/>
          </w:r>
          <w:r>
            <w:rPr>
              <w:rFonts w:hint="eastAsia" w:ascii="黑体" w:hAnsi="黑体" w:eastAsia="黑体"/>
              <w:color w:val="auto"/>
              <w:kern w:val="2"/>
              <w:szCs w:val="24"/>
              <w:highlight w:val="none"/>
              <w:lang w:val="zh-CN"/>
            </w:rPr>
            <w:t>五、一般公共预算财政拨款支出决算情况说明</w:t>
          </w:r>
          <w:r>
            <w:rPr>
              <w:color w:val="auto"/>
              <w:highlight w:val="none"/>
            </w:rPr>
            <w:tab/>
          </w:r>
          <w:r>
            <w:rPr>
              <w:color w:val="auto"/>
              <w:highlight w:val="none"/>
            </w:rPr>
            <w:fldChar w:fldCharType="begin"/>
          </w:r>
          <w:r>
            <w:rPr>
              <w:color w:val="auto"/>
              <w:highlight w:val="none"/>
            </w:rPr>
            <w:instrText xml:space="preserve"> PAGEREF _Toc21719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_Toc25181 </w:instrText>
          </w:r>
          <w:r>
            <w:rPr>
              <w:color w:val="auto"/>
              <w:highlight w:val="none"/>
            </w:rPr>
            <w:fldChar w:fldCharType="separate"/>
          </w:r>
          <w:r>
            <w:rPr>
              <w:rFonts w:hint="eastAsia" w:ascii="黑体" w:hAnsi="黑体" w:eastAsia="黑体"/>
              <w:color w:val="auto"/>
              <w:kern w:val="2"/>
              <w:szCs w:val="24"/>
              <w:highlight w:val="none"/>
              <w:lang w:val="zh-CN"/>
            </w:rPr>
            <w:t>六、一般公共预算财政拨款基本支出决算情况说明</w:t>
          </w:r>
          <w:r>
            <w:rPr>
              <w:color w:val="auto"/>
              <w:highlight w:val="none"/>
            </w:rPr>
            <w:tab/>
          </w:r>
          <w:r>
            <w:rPr>
              <w:color w:val="auto"/>
              <w:highlight w:val="none"/>
            </w:rPr>
            <w:fldChar w:fldCharType="begin"/>
          </w:r>
          <w:r>
            <w:rPr>
              <w:color w:val="auto"/>
              <w:highlight w:val="none"/>
            </w:rPr>
            <w:instrText xml:space="preserve"> PAGEREF _Toc25181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_Toc29445 </w:instrText>
          </w:r>
          <w:r>
            <w:rPr>
              <w:color w:val="auto"/>
              <w:highlight w:val="none"/>
            </w:rPr>
            <w:fldChar w:fldCharType="separate"/>
          </w:r>
          <w:r>
            <w:rPr>
              <w:rFonts w:hint="eastAsia" w:ascii="黑体" w:hAnsi="黑体" w:eastAsia="黑体"/>
              <w:color w:val="auto"/>
              <w:kern w:val="2"/>
              <w:szCs w:val="24"/>
              <w:highlight w:val="none"/>
              <w:lang w:val="zh-CN"/>
            </w:rPr>
            <w:t>七、“三公”经费财政拨款支出决算情况说明</w:t>
          </w:r>
          <w:r>
            <w:rPr>
              <w:color w:val="auto"/>
              <w:highlight w:val="none"/>
            </w:rPr>
            <w:tab/>
          </w:r>
          <w:r>
            <w:rPr>
              <w:color w:val="auto"/>
              <w:highlight w:val="none"/>
            </w:rPr>
            <w:fldChar w:fldCharType="begin"/>
          </w:r>
          <w:r>
            <w:rPr>
              <w:color w:val="auto"/>
              <w:highlight w:val="none"/>
            </w:rPr>
            <w:instrText xml:space="preserve"> PAGEREF _Toc29445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_Toc23339 </w:instrText>
          </w:r>
          <w:r>
            <w:rPr>
              <w:color w:val="auto"/>
              <w:highlight w:val="none"/>
            </w:rPr>
            <w:fldChar w:fldCharType="separate"/>
          </w:r>
          <w:r>
            <w:rPr>
              <w:rFonts w:hint="eastAsia" w:ascii="黑体" w:hAnsi="黑体" w:eastAsia="黑体"/>
              <w:color w:val="auto"/>
              <w:kern w:val="2"/>
              <w:szCs w:val="24"/>
              <w:highlight w:val="none"/>
              <w:lang w:val="zh-CN"/>
            </w:rPr>
            <w:t>八、政府性基金预算支出决算情况说明</w:t>
          </w:r>
          <w:r>
            <w:rPr>
              <w:color w:val="auto"/>
              <w:highlight w:val="none"/>
            </w:rPr>
            <w:tab/>
          </w:r>
          <w:r>
            <w:rPr>
              <w:color w:val="auto"/>
              <w:highlight w:val="none"/>
            </w:rPr>
            <w:fldChar w:fldCharType="begin"/>
          </w:r>
          <w:r>
            <w:rPr>
              <w:color w:val="auto"/>
              <w:highlight w:val="none"/>
            </w:rPr>
            <w:instrText xml:space="preserve"> PAGEREF _Toc23339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_Toc13010 </w:instrText>
          </w:r>
          <w:r>
            <w:rPr>
              <w:color w:val="auto"/>
              <w:highlight w:val="none"/>
            </w:rPr>
            <w:fldChar w:fldCharType="separate"/>
          </w:r>
          <w:r>
            <w:rPr>
              <w:rFonts w:hint="eastAsia" w:ascii="黑体" w:hAnsi="黑体" w:eastAsia="黑体"/>
              <w:color w:val="auto"/>
              <w:kern w:val="2"/>
              <w:szCs w:val="24"/>
              <w:highlight w:val="none"/>
              <w:lang w:val="zh-CN"/>
            </w:rPr>
            <w:t>九、国有资本经营预算支出决算情况说明</w:t>
          </w:r>
          <w:r>
            <w:rPr>
              <w:color w:val="auto"/>
              <w:highlight w:val="none"/>
            </w:rPr>
            <w:tab/>
          </w:r>
          <w:r>
            <w:rPr>
              <w:color w:val="auto"/>
              <w:highlight w:val="none"/>
            </w:rPr>
            <w:fldChar w:fldCharType="begin"/>
          </w:r>
          <w:r>
            <w:rPr>
              <w:color w:val="auto"/>
              <w:highlight w:val="none"/>
            </w:rPr>
            <w:instrText xml:space="preserve"> PAGEREF _Toc13010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2"/>
            <w:tabs>
              <w:tab w:val="right" w:leader="dot" w:pos="8306"/>
            </w:tabs>
            <w:rPr>
              <w:color w:val="auto"/>
              <w:highlight w:val="none"/>
            </w:rPr>
          </w:pPr>
          <w:r>
            <w:rPr>
              <w:color w:val="auto"/>
              <w:highlight w:val="none"/>
            </w:rPr>
            <w:fldChar w:fldCharType="begin"/>
          </w:r>
          <w:r>
            <w:rPr>
              <w:color w:val="auto"/>
              <w:highlight w:val="none"/>
            </w:rPr>
            <w:instrText xml:space="preserve"> HYPERLINK \l _Toc25067 </w:instrText>
          </w:r>
          <w:r>
            <w:rPr>
              <w:color w:val="auto"/>
              <w:highlight w:val="none"/>
            </w:rPr>
            <w:fldChar w:fldCharType="separate"/>
          </w:r>
          <w:r>
            <w:rPr>
              <w:rFonts w:hint="eastAsia" w:ascii="黑体" w:hAnsi="黑体" w:eastAsia="黑体"/>
              <w:color w:val="auto"/>
              <w:kern w:val="2"/>
              <w:szCs w:val="24"/>
              <w:highlight w:val="none"/>
              <w:lang w:val="zh-CN"/>
            </w:rPr>
            <w:t>十、其他重要事项的情况说明</w:t>
          </w:r>
          <w:r>
            <w:rPr>
              <w:color w:val="auto"/>
              <w:highlight w:val="none"/>
            </w:rPr>
            <w:tab/>
          </w:r>
          <w:r>
            <w:rPr>
              <w:color w:val="auto"/>
              <w:highlight w:val="none"/>
            </w:rPr>
            <w:fldChar w:fldCharType="begin"/>
          </w:r>
          <w:r>
            <w:rPr>
              <w:color w:val="auto"/>
              <w:highlight w:val="none"/>
            </w:rPr>
            <w:instrText xml:space="preserve"> PAGEREF _Toc25067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1"/>
            <w:tabs>
              <w:tab w:val="right" w:leader="dot" w:pos="8306"/>
            </w:tabs>
            <w:rPr>
              <w:color w:val="auto"/>
              <w:highlight w:val="none"/>
            </w:rPr>
          </w:pPr>
          <w:r>
            <w:rPr>
              <w:color w:val="auto"/>
              <w:highlight w:val="none"/>
            </w:rPr>
            <w:fldChar w:fldCharType="begin"/>
          </w:r>
          <w:r>
            <w:rPr>
              <w:color w:val="auto"/>
              <w:highlight w:val="none"/>
            </w:rPr>
            <w:instrText xml:space="preserve"> HYPERLINK \l _Toc32677 </w:instrText>
          </w:r>
          <w:r>
            <w:rPr>
              <w:color w:val="auto"/>
              <w:highlight w:val="none"/>
            </w:rPr>
            <w:fldChar w:fldCharType="separate"/>
          </w:r>
          <w:r>
            <w:rPr>
              <w:rFonts w:hint="eastAsia" w:ascii="黑体" w:hAnsi="黑体" w:eastAsia="黑体"/>
              <w:color w:val="auto"/>
              <w:kern w:val="2"/>
              <w:szCs w:val="24"/>
              <w:highlight w:val="none"/>
              <w:lang w:val="zh-CN"/>
            </w:rPr>
            <w:t>第三部分 名</w:t>
          </w:r>
          <w:r>
            <w:rPr>
              <w:rFonts w:hint="eastAsia" w:ascii="黑体" w:hAnsi="黑体" w:eastAsia="黑体"/>
              <w:color w:val="auto"/>
              <w:kern w:val="44"/>
              <w:szCs w:val="24"/>
              <w:highlight w:val="none"/>
              <w:lang w:val="zh-CN"/>
            </w:rPr>
            <w:t>词解释</w:t>
          </w:r>
          <w:r>
            <w:rPr>
              <w:color w:val="auto"/>
              <w:highlight w:val="none"/>
            </w:rPr>
            <w:tab/>
          </w:r>
          <w:r>
            <w:rPr>
              <w:rFonts w:hint="eastAsia"/>
              <w:color w:val="auto"/>
              <w:highlight w:val="none"/>
              <w:lang w:val="en-US" w:eastAsia="zh-CN"/>
            </w:rPr>
            <w:t>7</w:t>
          </w:r>
          <w:r>
            <w:rPr>
              <w:color w:val="auto"/>
              <w:highlight w:val="none"/>
            </w:rPr>
            <w:fldChar w:fldCharType="end"/>
          </w:r>
        </w:p>
        <w:p>
          <w:pPr>
            <w:pStyle w:val="11"/>
            <w:tabs>
              <w:tab w:val="right" w:leader="dot" w:pos="8306"/>
            </w:tabs>
            <w:rPr>
              <w:rFonts w:hint="default" w:eastAsiaTheme="minorEastAsia"/>
              <w:color w:val="auto"/>
              <w:highlight w:val="none"/>
              <w:lang w:val="en-US" w:eastAsia="zh-CN"/>
            </w:rPr>
          </w:pPr>
          <w:r>
            <w:rPr>
              <w:color w:val="auto"/>
              <w:highlight w:val="none"/>
            </w:rPr>
            <w:fldChar w:fldCharType="begin"/>
          </w:r>
          <w:r>
            <w:rPr>
              <w:color w:val="auto"/>
              <w:highlight w:val="none"/>
            </w:rPr>
            <w:instrText xml:space="preserve"> HYPERLINK \l _Toc8451 </w:instrText>
          </w:r>
          <w:r>
            <w:rPr>
              <w:color w:val="auto"/>
              <w:highlight w:val="none"/>
            </w:rPr>
            <w:fldChar w:fldCharType="separate"/>
          </w:r>
          <w:r>
            <w:rPr>
              <w:rFonts w:hint="eastAsia" w:ascii="黑体" w:hAnsi="黑体" w:eastAsia="黑体"/>
              <w:color w:val="auto"/>
              <w:kern w:val="2"/>
              <w:szCs w:val="24"/>
              <w:highlight w:val="none"/>
              <w:lang w:val="en-US"/>
            </w:rPr>
            <w:t>第</w:t>
          </w:r>
          <w:r>
            <w:rPr>
              <w:rFonts w:hint="eastAsia" w:ascii="黑体" w:hAnsi="黑体" w:eastAsia="黑体"/>
              <w:color w:val="auto"/>
              <w:kern w:val="44"/>
              <w:szCs w:val="24"/>
              <w:highlight w:val="none"/>
              <w:lang w:val="en-US"/>
            </w:rPr>
            <w:t>四部分 附件</w:t>
          </w:r>
          <w:r>
            <w:rPr>
              <w:color w:val="auto"/>
              <w:highlight w:val="none"/>
            </w:rPr>
            <w:tab/>
          </w:r>
          <w:r>
            <w:rPr>
              <w:color w:val="auto"/>
              <w:highlight w:val="none"/>
            </w:rPr>
            <w:fldChar w:fldCharType="end"/>
          </w:r>
          <w:r>
            <w:rPr>
              <w:rFonts w:hint="eastAsia"/>
              <w:color w:val="auto"/>
              <w:highlight w:val="none"/>
              <w:lang w:val="en-US" w:eastAsia="zh-CN"/>
            </w:rPr>
            <w:t>10</w:t>
          </w:r>
        </w:p>
        <w:p>
          <w:pPr>
            <w:pStyle w:val="11"/>
            <w:tabs>
              <w:tab w:val="right" w:leader="dot" w:pos="8306"/>
            </w:tabs>
            <w:rPr>
              <w:rFonts w:hint="eastAsia" w:eastAsiaTheme="minorEastAsia"/>
              <w:color w:val="auto"/>
              <w:highlight w:val="none"/>
              <w:lang w:val="en-US" w:eastAsia="zh-CN"/>
            </w:rPr>
          </w:pPr>
          <w:r>
            <w:rPr>
              <w:color w:val="auto"/>
              <w:highlight w:val="none"/>
            </w:rPr>
            <w:fldChar w:fldCharType="begin"/>
          </w:r>
          <w:r>
            <w:rPr>
              <w:color w:val="auto"/>
              <w:highlight w:val="none"/>
            </w:rPr>
            <w:instrText xml:space="preserve"> HYPERLINK \l _Toc564 </w:instrText>
          </w:r>
          <w:r>
            <w:rPr>
              <w:color w:val="auto"/>
              <w:highlight w:val="none"/>
            </w:rPr>
            <w:fldChar w:fldCharType="separate"/>
          </w:r>
          <w:r>
            <w:rPr>
              <w:rFonts w:hint="eastAsia" w:ascii="黑体" w:hAnsi="黑体" w:eastAsia="黑体"/>
              <w:color w:val="auto"/>
              <w:kern w:val="2"/>
              <w:szCs w:val="24"/>
              <w:highlight w:val="none"/>
              <w:lang w:val="en-US"/>
            </w:rPr>
            <w:t>第</w:t>
          </w:r>
          <w:r>
            <w:rPr>
              <w:rFonts w:hint="eastAsia" w:ascii="黑体" w:hAnsi="黑体" w:eastAsia="黑体"/>
              <w:color w:val="auto"/>
              <w:kern w:val="44"/>
              <w:szCs w:val="24"/>
              <w:highlight w:val="none"/>
              <w:lang w:val="en-US"/>
            </w:rPr>
            <w:t>五部分 附表</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1</w:t>
          </w:r>
        </w:p>
        <w:p>
          <w:pPr>
            <w:pStyle w:val="11"/>
            <w:tabs>
              <w:tab w:val="right" w:leader="dot" w:pos="8306"/>
            </w:tabs>
            <w:ind w:firstLine="400" w:firstLineChars="200"/>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_Toc15494 </w:instrText>
          </w:r>
          <w:r>
            <w:rPr>
              <w:rFonts w:hint="eastAsia" w:ascii="黑体" w:hAnsi="黑体" w:eastAsia="黑体" w:cstheme="minorBidi"/>
              <w:color w:val="auto"/>
              <w:kern w:val="2"/>
              <w:sz w:val="20"/>
              <w:szCs w:val="24"/>
              <w:highlight w:val="none"/>
              <w:lang w:val="zh-CN"/>
            </w:rPr>
            <w:fldChar w:fldCharType="separate"/>
          </w:r>
          <w:r>
            <w:rPr>
              <w:rFonts w:hint="default" w:ascii="黑体" w:hAnsi="黑体" w:eastAsia="黑体" w:cstheme="minorBidi"/>
              <w:color w:val="auto"/>
              <w:kern w:val="2"/>
              <w:sz w:val="20"/>
              <w:szCs w:val="24"/>
              <w:highlight w:val="none"/>
              <w:lang w:val="en-US"/>
            </w:rPr>
            <w:t xml:space="preserve">一、 </w:t>
          </w:r>
          <w:r>
            <w:rPr>
              <w:rFonts w:hint="eastAsia" w:ascii="黑体" w:hAnsi="黑体" w:eastAsia="黑体" w:cstheme="minorBidi"/>
              <w:color w:val="auto"/>
              <w:kern w:val="2"/>
              <w:sz w:val="20"/>
              <w:szCs w:val="24"/>
              <w:highlight w:val="none"/>
              <w:lang w:val="en-US"/>
            </w:rPr>
            <w:t>收入支出决算总表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tabs>
              <w:tab w:val="right" w:leader="dot" w:pos="8306"/>
            </w:tabs>
            <w:ind w:firstLine="400" w:firstLineChars="200"/>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_Toc12146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二、收入决算表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tabs>
              <w:tab w:val="right" w:leader="dot" w:pos="8306"/>
            </w:tabs>
            <w:ind w:firstLine="400" w:firstLineChars="200"/>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_Toc7603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三、支出决算表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keepNext w:val="0"/>
            <w:keepLines w:val="0"/>
            <w:pageBreakBefore w:val="0"/>
            <w:widowControl/>
            <w:tabs>
              <w:tab w:val="right" w:leader="dot" w:pos="8306"/>
            </w:tabs>
            <w:kinsoku/>
            <w:wordWrap/>
            <w:overflowPunct/>
            <w:topLinePunct w:val="0"/>
            <w:autoSpaceDE/>
            <w:autoSpaceDN/>
            <w:bidi w:val="0"/>
            <w:adjustRightInd/>
            <w:snapToGrid/>
            <w:ind w:firstLine="400" w:firstLineChars="200"/>
            <w:textAlignment w:val="auto"/>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_Toc14287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四、财政拨款收入支出决算总表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keepNext w:val="0"/>
            <w:keepLines w:val="0"/>
            <w:pageBreakBefore w:val="0"/>
            <w:widowControl/>
            <w:tabs>
              <w:tab w:val="right" w:leader="dot" w:pos="8306"/>
            </w:tabs>
            <w:kinsoku/>
            <w:wordWrap/>
            <w:overflowPunct/>
            <w:topLinePunct w:val="0"/>
            <w:autoSpaceDE/>
            <w:autoSpaceDN/>
            <w:bidi w:val="0"/>
            <w:adjustRightInd/>
            <w:snapToGrid/>
            <w:ind w:firstLine="400" w:firstLineChars="200"/>
            <w:textAlignment w:val="auto"/>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_Toc19729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五、财政拨款支出决算明细表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keepNext w:val="0"/>
            <w:keepLines w:val="0"/>
            <w:pageBreakBefore w:val="0"/>
            <w:widowControl/>
            <w:tabs>
              <w:tab w:val="right" w:leader="dot" w:pos="8306"/>
            </w:tabs>
            <w:kinsoku/>
            <w:wordWrap/>
            <w:overflowPunct/>
            <w:topLinePunct w:val="0"/>
            <w:autoSpaceDE/>
            <w:autoSpaceDN/>
            <w:bidi w:val="0"/>
            <w:adjustRightInd/>
            <w:snapToGrid/>
            <w:ind w:firstLine="400" w:firstLineChars="200"/>
            <w:textAlignment w:val="auto"/>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_Toc27648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六、一般公共预算财政拨款支出决算表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keepNext w:val="0"/>
            <w:keepLines w:val="0"/>
            <w:pageBreakBefore w:val="0"/>
            <w:widowControl/>
            <w:tabs>
              <w:tab w:val="right" w:leader="dot" w:pos="8306"/>
            </w:tabs>
            <w:kinsoku/>
            <w:wordWrap/>
            <w:overflowPunct/>
            <w:topLinePunct w:val="0"/>
            <w:autoSpaceDE/>
            <w:autoSpaceDN/>
            <w:bidi w:val="0"/>
            <w:adjustRightInd/>
            <w:snapToGrid/>
            <w:ind w:firstLine="400" w:firstLineChars="200"/>
            <w:textAlignment w:val="auto"/>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_Toc5826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七、一般公共预算财政拨款支出决算明细表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keepNext w:val="0"/>
            <w:keepLines w:val="0"/>
            <w:pageBreakBefore w:val="0"/>
            <w:widowControl/>
            <w:tabs>
              <w:tab w:val="right" w:leader="dot" w:pos="8306"/>
            </w:tabs>
            <w:kinsoku/>
            <w:wordWrap/>
            <w:overflowPunct/>
            <w:topLinePunct w:val="0"/>
            <w:autoSpaceDE/>
            <w:autoSpaceDN/>
            <w:bidi w:val="0"/>
            <w:adjustRightInd/>
            <w:snapToGrid/>
            <w:ind w:firstLine="400" w:firstLineChars="200"/>
            <w:textAlignment w:val="auto"/>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_Toc21689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八、一般公共预算财政拨款基本支出决算表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keepNext w:val="0"/>
            <w:keepLines w:val="0"/>
            <w:pageBreakBefore w:val="0"/>
            <w:widowControl/>
            <w:tabs>
              <w:tab w:val="right" w:leader="dot" w:pos="8306"/>
            </w:tabs>
            <w:kinsoku/>
            <w:wordWrap/>
            <w:overflowPunct/>
            <w:topLinePunct w:val="0"/>
            <w:autoSpaceDE/>
            <w:autoSpaceDN/>
            <w:bidi w:val="0"/>
            <w:adjustRightInd/>
            <w:snapToGrid/>
            <w:ind w:firstLine="400" w:firstLineChars="200"/>
            <w:textAlignment w:val="auto"/>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_Toc8521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九、一般公共预算财政拨款项目支出决算表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keepNext w:val="0"/>
            <w:keepLines w:val="0"/>
            <w:pageBreakBefore w:val="0"/>
            <w:widowControl/>
            <w:tabs>
              <w:tab w:val="right" w:leader="dot" w:pos="8306"/>
            </w:tabs>
            <w:kinsoku/>
            <w:wordWrap/>
            <w:overflowPunct/>
            <w:topLinePunct w:val="0"/>
            <w:autoSpaceDE/>
            <w:autoSpaceDN/>
            <w:bidi w:val="0"/>
            <w:adjustRightInd/>
            <w:snapToGrid/>
            <w:ind w:firstLine="400" w:firstLineChars="200"/>
            <w:textAlignment w:val="auto"/>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_Toc9389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十、政府性基金预算财政拨款收入支出决算表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keepNext w:val="0"/>
            <w:keepLines w:val="0"/>
            <w:pageBreakBefore w:val="0"/>
            <w:widowControl/>
            <w:tabs>
              <w:tab w:val="right" w:leader="dot" w:pos="8306"/>
            </w:tabs>
            <w:kinsoku/>
            <w:wordWrap/>
            <w:overflowPunct/>
            <w:topLinePunct w:val="0"/>
            <w:autoSpaceDE/>
            <w:autoSpaceDN/>
            <w:bidi w:val="0"/>
            <w:adjustRightInd/>
            <w:snapToGrid/>
            <w:ind w:firstLine="400" w:firstLineChars="200"/>
            <w:textAlignment w:val="auto"/>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_Toc10743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十一、国有资本经营预算财政拨款收入支出决算表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keepNext w:val="0"/>
            <w:keepLines w:val="0"/>
            <w:pageBreakBefore w:val="0"/>
            <w:widowControl/>
            <w:tabs>
              <w:tab w:val="right" w:leader="dot" w:pos="8306"/>
            </w:tabs>
            <w:kinsoku/>
            <w:wordWrap/>
            <w:overflowPunct/>
            <w:topLinePunct w:val="0"/>
            <w:autoSpaceDE/>
            <w:autoSpaceDN/>
            <w:bidi w:val="0"/>
            <w:adjustRightInd/>
            <w:snapToGrid/>
            <w:ind w:firstLine="400" w:firstLineChars="200"/>
            <w:textAlignment w:val="auto"/>
            <w:rPr>
              <w:rFonts w:hint="eastAsia" w:ascii="黑体" w:hAnsi="黑体" w:eastAsia="黑体" w:cstheme="minorBidi"/>
              <w:color w:val="auto"/>
              <w:kern w:val="2"/>
              <w:sz w:val="20"/>
              <w:szCs w:val="24"/>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_Toc19365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十二、国有资本经营预算财政拨款支出决算表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pStyle w:val="11"/>
            <w:keepNext w:val="0"/>
            <w:keepLines w:val="0"/>
            <w:pageBreakBefore w:val="0"/>
            <w:widowControl/>
            <w:tabs>
              <w:tab w:val="right" w:leader="dot" w:pos="8306"/>
            </w:tabs>
            <w:kinsoku/>
            <w:wordWrap/>
            <w:overflowPunct/>
            <w:topLinePunct w:val="0"/>
            <w:autoSpaceDE/>
            <w:autoSpaceDN/>
            <w:bidi w:val="0"/>
            <w:adjustRightInd/>
            <w:snapToGrid/>
            <w:ind w:firstLine="400" w:firstLineChars="200"/>
            <w:textAlignment w:val="auto"/>
            <w:rPr>
              <w:rFonts w:hint="eastAsia" w:eastAsia="黑体"/>
              <w:color w:val="auto"/>
              <w:highlight w:val="none"/>
              <w:lang w:val="en-US" w:eastAsia="zh-CN"/>
            </w:rPr>
          </w:pPr>
          <w:r>
            <w:rPr>
              <w:rFonts w:hint="eastAsia" w:ascii="黑体" w:hAnsi="黑体" w:eastAsia="黑体" w:cstheme="minorBidi"/>
              <w:color w:val="auto"/>
              <w:kern w:val="2"/>
              <w:sz w:val="20"/>
              <w:szCs w:val="24"/>
              <w:highlight w:val="none"/>
              <w:lang w:val="zh-CN"/>
            </w:rPr>
            <w:fldChar w:fldCharType="begin"/>
          </w:r>
          <w:r>
            <w:rPr>
              <w:rFonts w:hint="eastAsia" w:ascii="黑体" w:hAnsi="黑体" w:eastAsia="黑体" w:cstheme="minorBidi"/>
              <w:color w:val="auto"/>
              <w:kern w:val="2"/>
              <w:sz w:val="20"/>
              <w:szCs w:val="24"/>
              <w:highlight w:val="none"/>
              <w:lang w:val="zh-CN"/>
            </w:rPr>
            <w:instrText xml:space="preserve"> HYPERLINK \l _Toc29228 </w:instrText>
          </w:r>
          <w:r>
            <w:rPr>
              <w:rFonts w:hint="eastAsia" w:ascii="黑体" w:hAnsi="黑体" w:eastAsia="黑体" w:cstheme="minorBidi"/>
              <w:color w:val="auto"/>
              <w:kern w:val="2"/>
              <w:sz w:val="20"/>
              <w:szCs w:val="24"/>
              <w:highlight w:val="none"/>
              <w:lang w:val="zh-CN"/>
            </w:rPr>
            <w:fldChar w:fldCharType="separate"/>
          </w:r>
          <w:r>
            <w:rPr>
              <w:rFonts w:hint="eastAsia" w:ascii="黑体" w:hAnsi="黑体" w:eastAsia="黑体" w:cstheme="minorBidi"/>
              <w:color w:val="auto"/>
              <w:kern w:val="2"/>
              <w:sz w:val="20"/>
              <w:szCs w:val="24"/>
              <w:highlight w:val="none"/>
              <w:lang w:val="en-US"/>
            </w:rPr>
            <w:t>十三、财政拨款“三公”经费支出决算表</w:t>
          </w:r>
          <w:r>
            <w:rPr>
              <w:rFonts w:hint="eastAsia" w:ascii="黑体" w:hAnsi="黑体" w:eastAsia="黑体" w:cstheme="minorBidi"/>
              <w:color w:val="auto"/>
              <w:kern w:val="2"/>
              <w:sz w:val="20"/>
              <w:szCs w:val="24"/>
              <w:highlight w:val="none"/>
              <w:lang w:val="zh-CN"/>
            </w:rPr>
            <w:tab/>
          </w:r>
          <w:r>
            <w:rPr>
              <w:rFonts w:hint="eastAsia" w:ascii="黑体" w:hAnsi="黑体" w:eastAsia="黑体" w:cstheme="minorBidi"/>
              <w:color w:val="auto"/>
              <w:kern w:val="2"/>
              <w:sz w:val="20"/>
              <w:szCs w:val="24"/>
              <w:highlight w:val="none"/>
              <w:lang w:val="en-US" w:eastAsia="zh-CN"/>
            </w:rPr>
            <w:t>3</w:t>
          </w:r>
          <w:r>
            <w:rPr>
              <w:rFonts w:hint="eastAsia" w:ascii="黑体" w:hAnsi="黑体" w:eastAsia="黑体" w:cstheme="minorBidi"/>
              <w:color w:val="auto"/>
              <w:kern w:val="2"/>
              <w:sz w:val="20"/>
              <w:szCs w:val="24"/>
              <w:highlight w:val="none"/>
              <w:lang w:val="zh-CN"/>
            </w:rPr>
            <w:fldChar w:fldCharType="end"/>
          </w:r>
          <w:r>
            <w:rPr>
              <w:rFonts w:hint="eastAsia" w:ascii="黑体" w:hAnsi="黑体" w:eastAsia="黑体" w:cstheme="minorBidi"/>
              <w:color w:val="auto"/>
              <w:kern w:val="2"/>
              <w:sz w:val="20"/>
              <w:szCs w:val="24"/>
              <w:highlight w:val="none"/>
              <w:lang w:val="en-US" w:eastAsia="zh-CN"/>
            </w:rPr>
            <w:t>0</w:t>
          </w:r>
        </w:p>
        <w:p>
          <w:pPr>
            <w:rPr>
              <w:color w:val="auto"/>
              <w:highlight w:val="none"/>
            </w:rPr>
          </w:pPr>
          <w:r>
            <w:rPr>
              <w:color w:val="auto"/>
              <w:highlight w:val="none"/>
            </w:rPr>
            <w:fldChar w:fldCharType="end"/>
          </w:r>
        </w:p>
      </w:sdtContent>
    </w:sdt>
    <w:p>
      <w:pPr>
        <w:pStyle w:val="3"/>
        <w:keepNext/>
        <w:keepLines/>
        <w:spacing w:line="240" w:lineRule="auto"/>
        <w:jc w:val="center"/>
        <w:outlineLvl w:val="9"/>
        <w:rPr>
          <w:rFonts w:hint="eastAsia" w:ascii="黑体" w:hAnsi="黑体" w:eastAsia="黑体"/>
          <w:color w:val="auto"/>
          <w:kern w:val="44"/>
          <w:sz w:val="44"/>
          <w:szCs w:val="24"/>
          <w:highlight w:val="none"/>
          <w:lang w:val="zh-CN"/>
        </w:rPr>
      </w:pPr>
    </w:p>
    <w:p>
      <w:pPr>
        <w:pStyle w:val="3"/>
        <w:keepNext/>
        <w:keepLines/>
        <w:spacing w:line="240" w:lineRule="auto"/>
        <w:jc w:val="center"/>
        <w:outlineLvl w:val="9"/>
        <w:rPr>
          <w:rFonts w:hint="eastAsia" w:ascii="黑体" w:hAnsi="黑体" w:eastAsia="黑体"/>
          <w:color w:val="auto"/>
          <w:kern w:val="44"/>
          <w:sz w:val="44"/>
          <w:szCs w:val="24"/>
          <w:highlight w:val="none"/>
          <w:lang w:val="zh-CN"/>
        </w:rPr>
      </w:pPr>
    </w:p>
    <w:p>
      <w:pPr>
        <w:pStyle w:val="3"/>
        <w:keepNext/>
        <w:keepLines/>
        <w:spacing w:line="240" w:lineRule="auto"/>
        <w:jc w:val="both"/>
        <w:outlineLvl w:val="9"/>
        <w:rPr>
          <w:rFonts w:hint="eastAsia" w:ascii="黑体" w:hAnsi="黑体" w:eastAsia="黑体"/>
          <w:color w:val="auto"/>
          <w:kern w:val="44"/>
          <w:sz w:val="44"/>
          <w:szCs w:val="24"/>
          <w:highlight w:val="none"/>
          <w:lang w:val="zh-CN"/>
        </w:rPr>
      </w:pPr>
    </w:p>
    <w:p>
      <w:pPr>
        <w:rPr>
          <w:rFonts w:hint="eastAsia"/>
          <w:color w:val="auto"/>
          <w:highlight w:val="none"/>
          <w:lang w:val="zh-CN"/>
        </w:rPr>
      </w:pPr>
    </w:p>
    <w:p>
      <w:pPr>
        <w:pStyle w:val="3"/>
        <w:keepNext/>
        <w:keepLines/>
        <w:spacing w:line="240" w:lineRule="auto"/>
        <w:jc w:val="center"/>
        <w:rPr>
          <w:rFonts w:hint="eastAsia" w:ascii="黑体" w:hAnsi="黑体" w:eastAsia="黑体"/>
          <w:color w:val="auto"/>
          <w:kern w:val="44"/>
          <w:sz w:val="44"/>
          <w:szCs w:val="24"/>
          <w:highlight w:val="none"/>
          <w:lang w:val="zh-CN"/>
        </w:rPr>
        <w:sectPr>
          <w:footerReference r:id="rId4" w:type="default"/>
          <w:pgSz w:w="11906" w:h="16838"/>
          <w:pgMar w:top="1440" w:right="1800" w:bottom="1440" w:left="1800" w:header="851" w:footer="992" w:gutter="0"/>
          <w:pgNumType w:fmt="decimal" w:start="1"/>
          <w:cols w:space="425" w:num="1"/>
          <w:docGrid w:type="lines" w:linePitch="312" w:charSpace="0"/>
        </w:sectPr>
      </w:pPr>
      <w:bookmarkStart w:id="1" w:name="_Toc4017"/>
    </w:p>
    <w:p>
      <w:pPr>
        <w:pStyle w:val="3"/>
        <w:keepNext/>
        <w:keepLines/>
        <w:spacing w:line="240" w:lineRule="auto"/>
        <w:jc w:val="center"/>
        <w:rPr>
          <w:rFonts w:hint="eastAsia" w:ascii="黑体" w:hAnsi="黑体" w:eastAsia="黑体"/>
          <w:b/>
          <w:color w:val="auto"/>
          <w:kern w:val="44"/>
          <w:sz w:val="44"/>
          <w:szCs w:val="24"/>
          <w:highlight w:val="none"/>
          <w:lang w:val="zh-CN"/>
        </w:rPr>
      </w:pPr>
      <w:r>
        <w:rPr>
          <w:rFonts w:hint="eastAsia" w:ascii="黑体" w:hAnsi="黑体" w:eastAsia="黑体"/>
          <w:color w:val="auto"/>
          <w:kern w:val="44"/>
          <w:sz w:val="44"/>
          <w:szCs w:val="24"/>
          <w:highlight w:val="none"/>
          <w:lang w:val="zh-CN"/>
        </w:rPr>
        <w:t>第一部分 单位概况</w:t>
      </w:r>
      <w:bookmarkEnd w:id="1"/>
    </w:p>
    <w:p>
      <w:pPr>
        <w:pStyle w:val="4"/>
        <w:keepNext/>
        <w:keepLines/>
        <w:spacing w:before="260" w:after="260" w:line="576" w:lineRule="exact"/>
        <w:ind w:firstLine="640"/>
        <w:jc w:val="both"/>
        <w:rPr>
          <w:rFonts w:hint="eastAsia" w:ascii="黑体" w:hAnsi="黑体" w:eastAsia="黑体"/>
          <w:color w:val="auto"/>
          <w:kern w:val="2"/>
          <w:sz w:val="32"/>
          <w:szCs w:val="24"/>
          <w:highlight w:val="none"/>
          <w:lang w:val="zh-CN"/>
        </w:rPr>
      </w:pPr>
      <w:bookmarkStart w:id="2" w:name="_Toc14577"/>
      <w:r>
        <w:rPr>
          <w:rFonts w:hint="eastAsia" w:ascii="黑体" w:hAnsi="黑体" w:eastAsia="黑体"/>
          <w:color w:val="auto"/>
          <w:kern w:val="2"/>
          <w:sz w:val="32"/>
          <w:szCs w:val="24"/>
          <w:highlight w:val="none"/>
          <w:lang w:val="zh-CN"/>
        </w:rPr>
        <w:t>一、主要职责</w:t>
      </w:r>
      <w:bookmarkEnd w:id="2"/>
    </w:p>
    <w:p>
      <w:pPr>
        <w:spacing w:line="600" w:lineRule="exact"/>
        <w:ind w:firstLine="640" w:firstLineChars="200"/>
        <w:rPr>
          <w:rFonts w:hint="eastAsia" w:ascii="黑体" w:hAnsi="黑体" w:eastAsia="黑体"/>
          <w:color w:val="auto"/>
          <w:kern w:val="2"/>
          <w:sz w:val="32"/>
          <w:szCs w:val="24"/>
          <w:highlight w:val="none"/>
          <w:lang w:val="en-US" w:eastAsia="zh-CN"/>
        </w:rPr>
      </w:pPr>
      <w:r>
        <w:rPr>
          <w:rFonts w:hint="eastAsia" w:ascii="黑体" w:hAnsi="黑体" w:eastAsia="黑体"/>
          <w:color w:val="auto"/>
          <w:kern w:val="2"/>
          <w:sz w:val="32"/>
          <w:szCs w:val="24"/>
          <w:highlight w:val="none"/>
          <w:lang w:val="en-US" w:eastAsia="zh-CN"/>
        </w:rPr>
        <w:t xml:space="preserve">   </w:t>
      </w:r>
      <w:r>
        <w:rPr>
          <w:rFonts w:hint="eastAsia" w:ascii="仿宋" w:hAnsi="仿宋" w:eastAsia="仿宋"/>
          <w:color w:val="auto"/>
          <w:sz w:val="32"/>
          <w:szCs w:val="24"/>
          <w:highlight w:val="none"/>
        </w:rPr>
        <w:t>负责开展全市非物质文化遗产的资源普查、理论研究、宣传推介、传承保护、名录体系建设等工作。</w:t>
      </w:r>
    </w:p>
    <w:p>
      <w:pPr>
        <w:pStyle w:val="4"/>
        <w:keepNext/>
        <w:keepLines/>
        <w:numPr>
          <w:ilvl w:val="0"/>
          <w:numId w:val="1"/>
        </w:numPr>
        <w:spacing w:before="260" w:after="260" w:line="576" w:lineRule="exact"/>
        <w:ind w:firstLine="640"/>
        <w:jc w:val="both"/>
        <w:rPr>
          <w:rFonts w:hint="eastAsia" w:ascii="黑体" w:hAnsi="黑体" w:eastAsia="黑体"/>
          <w:color w:val="auto"/>
          <w:kern w:val="2"/>
          <w:sz w:val="32"/>
          <w:szCs w:val="24"/>
          <w:highlight w:val="none"/>
          <w:lang w:val="zh-CN"/>
        </w:rPr>
      </w:pPr>
      <w:bookmarkStart w:id="3" w:name="_Toc6010"/>
      <w:r>
        <w:rPr>
          <w:rFonts w:hint="eastAsia" w:ascii="黑体" w:hAnsi="黑体" w:eastAsia="黑体"/>
          <w:color w:val="auto"/>
          <w:kern w:val="2"/>
          <w:sz w:val="32"/>
          <w:szCs w:val="24"/>
          <w:highlight w:val="none"/>
          <w:lang w:val="zh-CN"/>
        </w:rPr>
        <w:t>机构设置</w:t>
      </w:r>
      <w:bookmarkEnd w:id="3"/>
    </w:p>
    <w:p>
      <w:pPr>
        <w:pStyle w:val="4"/>
        <w:keepNext/>
        <w:keepLines/>
        <w:widowControl w:val="0"/>
        <w:spacing w:before="260" w:after="260" w:line="576" w:lineRule="exact"/>
        <w:jc w:val="both"/>
        <w:outlineLvl w:val="0"/>
        <w:rPr>
          <w:rFonts w:hint="default" w:ascii="黑体" w:hAnsi="黑体" w:eastAsia="黑体"/>
          <w:color w:val="auto"/>
          <w:kern w:val="2"/>
          <w:sz w:val="32"/>
          <w:szCs w:val="24"/>
          <w:highlight w:val="none"/>
          <w:lang w:val="en-US" w:eastAsia="zh-CN"/>
        </w:rPr>
      </w:pPr>
      <w:r>
        <w:rPr>
          <w:rFonts w:hint="eastAsia" w:ascii="黑体" w:hAnsi="黑体" w:eastAsia="黑体"/>
          <w:color w:val="auto"/>
          <w:kern w:val="2"/>
          <w:sz w:val="32"/>
          <w:szCs w:val="24"/>
          <w:highlight w:val="none"/>
          <w:lang w:val="en-US" w:eastAsia="zh-CN"/>
        </w:rPr>
        <w:t xml:space="preserve">    </w:t>
      </w:r>
      <w:bookmarkStart w:id="4" w:name="_Toc10737"/>
      <w:r>
        <w:rPr>
          <w:rFonts w:hint="eastAsia" w:ascii="仿宋" w:hAnsi="仿宋" w:eastAsia="仿宋" w:cs="仿宋"/>
          <w:color w:val="auto"/>
          <w:kern w:val="2"/>
          <w:sz w:val="32"/>
          <w:szCs w:val="24"/>
          <w:highlight w:val="none"/>
          <w:lang w:val="en-US" w:eastAsia="zh-CN"/>
        </w:rPr>
        <w:t>广元市非物质文化遗产保护中心。属于文化广播电视和旅游局下</w:t>
      </w:r>
      <w:bookmarkEnd w:id="4"/>
      <w:r>
        <w:rPr>
          <w:rFonts w:hint="eastAsia" w:ascii="仿宋" w:hAnsi="仿宋" w:eastAsia="仿宋" w:cs="仿宋"/>
          <w:color w:val="auto"/>
          <w:kern w:val="2"/>
          <w:sz w:val="32"/>
          <w:szCs w:val="24"/>
          <w:highlight w:val="none"/>
          <w:lang w:val="en-US" w:eastAsia="zh-CN"/>
        </w:rPr>
        <w:t>属的二级预算单位。</w:t>
      </w:r>
    </w:p>
    <w:p>
      <w:pPr>
        <w:pStyle w:val="3"/>
        <w:keepNext/>
        <w:keepLines/>
        <w:spacing w:before="340" w:after="330" w:line="576" w:lineRule="exact"/>
        <w:ind w:right="442"/>
        <w:jc w:val="center"/>
        <w:rPr>
          <w:rFonts w:hint="eastAsia" w:ascii="Times New Roman" w:hAnsi="Times New Roman" w:eastAsia="Times New Roman"/>
          <w:b/>
          <w:color w:val="auto"/>
          <w:kern w:val="44"/>
          <w:sz w:val="44"/>
          <w:szCs w:val="24"/>
          <w:highlight w:val="none"/>
          <w:lang w:val="zh-CN"/>
        </w:rPr>
      </w:pPr>
      <w:bookmarkStart w:id="5" w:name="_Toc29065"/>
      <w:r>
        <w:rPr>
          <w:rFonts w:hint="eastAsia" w:ascii="黑体" w:hAnsi="黑体" w:eastAsia="黑体"/>
          <w:color w:val="auto"/>
          <w:kern w:val="44"/>
          <w:sz w:val="44"/>
          <w:szCs w:val="24"/>
          <w:highlight w:val="none"/>
          <w:lang w:val="en-US" w:eastAsia="zh-CN"/>
        </w:rPr>
        <w:t xml:space="preserve">  </w:t>
      </w:r>
      <w:r>
        <w:rPr>
          <w:rFonts w:hint="eastAsia" w:ascii="黑体" w:hAnsi="黑体" w:eastAsia="黑体"/>
          <w:color w:val="auto"/>
          <w:kern w:val="44"/>
          <w:sz w:val="44"/>
          <w:szCs w:val="24"/>
          <w:highlight w:val="none"/>
          <w:lang w:val="zh-CN"/>
        </w:rPr>
        <w:t>第二部分</w:t>
      </w:r>
      <w:r>
        <w:rPr>
          <w:rFonts w:hint="eastAsia" w:ascii="黑体" w:hAnsi="黑体" w:eastAsia="黑体"/>
          <w:b/>
          <w:color w:val="auto"/>
          <w:kern w:val="44"/>
          <w:sz w:val="44"/>
          <w:szCs w:val="24"/>
          <w:highlight w:val="none"/>
          <w:lang w:val="zh-CN"/>
        </w:rPr>
        <w:t xml:space="preserve"> </w:t>
      </w:r>
      <w:r>
        <w:rPr>
          <w:rFonts w:hint="eastAsia" w:ascii="黑体" w:hAnsi="黑体" w:eastAsia="黑体"/>
          <w:color w:val="auto"/>
          <w:kern w:val="44"/>
          <w:sz w:val="44"/>
          <w:szCs w:val="24"/>
          <w:highlight w:val="none"/>
          <w:lang w:val="zh-CN"/>
        </w:rPr>
        <w:t>2022年度单位决算情况说明</w:t>
      </w:r>
      <w:bookmarkEnd w:id="5"/>
    </w:p>
    <w:p>
      <w:pPr>
        <w:keepNext/>
        <w:keepLines/>
        <w:spacing w:line="576" w:lineRule="exact"/>
        <w:jc w:val="both"/>
        <w:outlineLvl w:val="1"/>
        <w:rPr>
          <w:rFonts w:hint="eastAsia" w:ascii="黑体" w:hAnsi="黑体" w:eastAsia="黑体"/>
          <w:color w:val="auto"/>
          <w:kern w:val="2"/>
          <w:sz w:val="32"/>
          <w:szCs w:val="24"/>
          <w:highlight w:val="none"/>
          <w:lang w:val="zh-CN"/>
        </w:rPr>
      </w:pPr>
      <w:r>
        <w:rPr>
          <w:rFonts w:hint="eastAsia" w:ascii="黑体" w:hAnsi="黑体" w:eastAsia="黑体"/>
          <w:color w:val="auto"/>
          <w:kern w:val="2"/>
          <w:sz w:val="32"/>
          <w:szCs w:val="24"/>
          <w:highlight w:val="none"/>
          <w:lang w:val="zh-CN"/>
        </w:rPr>
        <w:t xml:space="preserve">    </w:t>
      </w:r>
      <w:bookmarkStart w:id="6" w:name="_Toc16951"/>
      <w:r>
        <w:rPr>
          <w:rFonts w:hint="eastAsia" w:ascii="黑体" w:hAnsi="黑体" w:eastAsia="黑体"/>
          <w:color w:val="auto"/>
          <w:kern w:val="2"/>
          <w:sz w:val="32"/>
          <w:szCs w:val="24"/>
          <w:highlight w:val="none"/>
          <w:lang w:val="zh-CN"/>
        </w:rPr>
        <w:t>一、收入支出决算总体情况说明</w:t>
      </w:r>
      <w:bookmarkEnd w:id="6"/>
    </w:p>
    <w:p>
      <w:pPr>
        <w:keepNext/>
        <w:keepLines/>
        <w:spacing w:line="576" w:lineRule="exact"/>
        <w:ind w:firstLine="640"/>
        <w:jc w:val="both"/>
        <w:rPr>
          <w:rFonts w:hint="eastAsia" w:ascii="仿宋" w:hAnsi="仿宋" w:eastAsia="仿宋"/>
          <w:color w:val="auto"/>
          <w:kern w:val="2"/>
          <w:sz w:val="32"/>
          <w:szCs w:val="24"/>
          <w:highlight w:val="none"/>
          <w:lang w:val="en-US"/>
        </w:rPr>
      </w:pPr>
      <w:r>
        <w:rPr>
          <w:rFonts w:hint="eastAsia" w:ascii="仿宋_GB2312" w:hAnsi="仿宋_GB2312" w:eastAsia="仿宋_GB2312"/>
          <w:color w:val="auto"/>
          <w:kern w:val="2"/>
          <w:sz w:val="32"/>
          <w:szCs w:val="24"/>
          <w:highlight w:val="none"/>
          <w:lang w:val="zh-CN"/>
        </w:rPr>
        <w:t>2022年度收、支总计142.13万元。与2021年相比，收、支总计各减少184.26万元，下降56.5%。主要变动原因是</w:t>
      </w:r>
      <w:r>
        <w:rPr>
          <w:rFonts w:hint="eastAsia" w:ascii="仿宋_GB2312" w:hAnsi="仿宋_GB2312" w:eastAsia="仿宋_GB2312"/>
          <w:color w:val="auto"/>
          <w:kern w:val="2"/>
          <w:sz w:val="32"/>
          <w:szCs w:val="24"/>
          <w:highlight w:val="none"/>
          <w:lang w:val="en-US" w:eastAsia="zh-CN"/>
        </w:rPr>
        <w:t>人员减少、项目减少</w:t>
      </w:r>
      <w:r>
        <w:rPr>
          <w:rFonts w:hint="eastAsia" w:ascii="仿宋_GB2312" w:hAnsi="仿宋_GB2312" w:eastAsia="仿宋_GB2312"/>
          <w:color w:val="auto"/>
          <w:kern w:val="2"/>
          <w:sz w:val="32"/>
          <w:szCs w:val="24"/>
          <w:highlight w:val="none"/>
          <w:lang w:val="zh-CN"/>
        </w:rPr>
        <w:t>。</w:t>
      </w:r>
    </w:p>
    <w:p>
      <w:pPr>
        <w:pStyle w:val="2"/>
        <w:ind w:firstLine="1800" w:firstLineChars="600"/>
        <w:rPr>
          <w:rFonts w:hint="eastAsia" w:ascii="仿宋" w:hAnsi="仿宋" w:eastAsia="仿宋"/>
          <w:color w:val="auto"/>
          <w:kern w:val="2"/>
          <w:sz w:val="32"/>
          <w:szCs w:val="24"/>
          <w:highlight w:val="none"/>
          <w:lang w:val="en-US"/>
        </w:rPr>
      </w:pPr>
      <w:r>
        <w:rPr>
          <w:color w:val="auto"/>
          <w:highlight w:val="none"/>
        </w:rPr>
        <w:drawing>
          <wp:anchor distT="0" distB="0" distL="114300" distR="114300" simplePos="0" relativeHeight="251660288" behindDoc="0" locked="0" layoutInCell="1" allowOverlap="1">
            <wp:simplePos x="0" y="0"/>
            <wp:positionH relativeFrom="column">
              <wp:posOffset>356870</wp:posOffset>
            </wp:positionH>
            <wp:positionV relativeFrom="paragraph">
              <wp:posOffset>313690</wp:posOffset>
            </wp:positionV>
            <wp:extent cx="4814570" cy="2513330"/>
            <wp:effectExtent l="4445" t="4445" r="19685" b="1587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bookmarkStart w:id="7" w:name="_Toc11390"/>
      <w:r>
        <w:rPr>
          <w:rFonts w:hint="eastAsia" w:ascii="仿宋" w:hAnsi="仿宋" w:eastAsia="仿宋"/>
          <w:color w:val="auto"/>
          <w:kern w:val="2"/>
          <w:sz w:val="32"/>
          <w:szCs w:val="24"/>
          <w:highlight w:val="none"/>
          <w:lang w:val="en-US"/>
        </w:rPr>
        <w:t>收、支决算总计变动情况图</w:t>
      </w:r>
    </w:p>
    <w:p>
      <w:pPr>
        <w:keepNext/>
        <w:keepLines/>
        <w:spacing w:line="576" w:lineRule="exact"/>
        <w:jc w:val="both"/>
        <w:outlineLvl w:val="1"/>
        <w:rPr>
          <w:rFonts w:hint="eastAsia" w:ascii="黑体" w:hAnsi="黑体" w:eastAsia="黑体"/>
          <w:color w:val="auto"/>
          <w:kern w:val="2"/>
          <w:sz w:val="32"/>
          <w:szCs w:val="24"/>
          <w:highlight w:val="none"/>
          <w:lang w:val="zh-CN"/>
        </w:rPr>
      </w:pPr>
      <w:r>
        <w:rPr>
          <w:rFonts w:hint="eastAsia" w:ascii="黑体" w:hAnsi="黑体" w:eastAsia="黑体"/>
          <w:color w:val="auto"/>
          <w:kern w:val="2"/>
          <w:sz w:val="32"/>
          <w:szCs w:val="24"/>
          <w:highlight w:val="none"/>
          <w:lang w:val="zh-CN"/>
        </w:rPr>
        <w:t>二、收入决算情况说明</w:t>
      </w:r>
      <w:bookmarkEnd w:id="7"/>
    </w:p>
    <w:p>
      <w:pPr>
        <w:keepNext/>
        <w:keepLines/>
        <w:spacing w:line="576" w:lineRule="exact"/>
        <w:ind w:firstLine="640"/>
        <w:jc w:val="both"/>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color w:val="auto"/>
          <w:kern w:val="2"/>
          <w:sz w:val="32"/>
          <w:szCs w:val="24"/>
          <w:highlight w:val="none"/>
          <w:lang w:val="zh-CN"/>
        </w:rPr>
        <w:t>2022年本年收入合计141.53万元，其中：一般公共预算财政拨款收入140.93万元，占99.6%；其他收入0.59万元，占0.4%。</w:t>
      </w:r>
    </w:p>
    <w:p>
      <w:pPr>
        <w:pStyle w:val="2"/>
        <w:ind w:firstLine="2560" w:firstLineChars="800"/>
        <w:rPr>
          <w:rFonts w:hint="eastAsia"/>
          <w:color w:val="auto"/>
          <w:highlight w:val="none"/>
          <w:lang w:val="en-US"/>
        </w:rPr>
      </w:pPr>
      <w:r>
        <w:rPr>
          <w:rFonts w:hint="eastAsia" w:ascii="仿宋" w:hAnsi="仿宋" w:eastAsia="仿宋"/>
          <w:color w:val="auto"/>
          <w:kern w:val="2"/>
          <w:sz w:val="32"/>
          <w:szCs w:val="24"/>
          <w:highlight w:val="none"/>
          <w:lang w:val="en-US"/>
        </w:rPr>
        <w:t>收入决算结构图</w:t>
      </w:r>
      <w:r>
        <w:rPr>
          <w:rFonts w:ascii="仿宋_GB2312" w:eastAsia="仿宋_GB2312"/>
          <w:color w:val="auto"/>
          <w:sz w:val="32"/>
          <w:szCs w:val="32"/>
          <w:highlight w:val="none"/>
        </w:rPr>
        <w:drawing>
          <wp:anchor distT="0" distB="0" distL="114300" distR="114300" simplePos="0" relativeHeight="251661312" behindDoc="0" locked="0" layoutInCell="1" allowOverlap="1">
            <wp:simplePos x="0" y="0"/>
            <wp:positionH relativeFrom="column">
              <wp:posOffset>384810</wp:posOffset>
            </wp:positionH>
            <wp:positionV relativeFrom="paragraph">
              <wp:posOffset>348615</wp:posOffset>
            </wp:positionV>
            <wp:extent cx="4218305" cy="2460625"/>
            <wp:effectExtent l="4445" t="4445" r="6350" b="1143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keepNext/>
        <w:keepLines/>
        <w:spacing w:line="576" w:lineRule="exact"/>
        <w:jc w:val="both"/>
        <w:outlineLvl w:val="1"/>
        <w:rPr>
          <w:rFonts w:hint="eastAsia" w:ascii="黑体" w:hAnsi="黑体" w:eastAsia="黑体"/>
          <w:color w:val="auto"/>
          <w:kern w:val="2"/>
          <w:sz w:val="32"/>
          <w:szCs w:val="24"/>
          <w:highlight w:val="none"/>
          <w:lang w:val="zh-CN"/>
        </w:rPr>
      </w:pPr>
      <w:bookmarkStart w:id="8" w:name="_Toc8357"/>
      <w:r>
        <w:rPr>
          <w:rFonts w:hint="eastAsia" w:ascii="黑体" w:hAnsi="黑体" w:eastAsia="黑体"/>
          <w:color w:val="auto"/>
          <w:kern w:val="2"/>
          <w:sz w:val="32"/>
          <w:szCs w:val="24"/>
          <w:highlight w:val="none"/>
          <w:lang w:val="zh-CN"/>
        </w:rPr>
        <w:t>三、支出决算情况说明</w:t>
      </w:r>
      <w:bookmarkEnd w:id="8"/>
    </w:p>
    <w:p>
      <w:pPr>
        <w:keepNext/>
        <w:keepLines/>
        <w:spacing w:line="576" w:lineRule="exact"/>
        <w:ind w:firstLine="640"/>
        <w:jc w:val="both"/>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color w:val="auto"/>
          <w:kern w:val="2"/>
          <w:sz w:val="32"/>
          <w:szCs w:val="24"/>
          <w:highlight w:val="none"/>
          <w:lang w:val="zh-CN"/>
        </w:rPr>
        <w:t>2022年本年支出合计140.38万元，其中：基本支出110.03万元，占78.4%；项目支出30.35万元，占21.6%。</w:t>
      </w:r>
    </w:p>
    <w:p>
      <w:pPr>
        <w:pStyle w:val="2"/>
        <w:rPr>
          <w:rFonts w:hint="eastAsia" w:ascii="仿宋" w:hAnsi="仿宋" w:eastAsia="仿宋"/>
          <w:color w:val="auto"/>
          <w:kern w:val="2"/>
          <w:sz w:val="32"/>
          <w:szCs w:val="24"/>
          <w:highlight w:val="none"/>
          <w:lang w:val="en-US"/>
        </w:rPr>
      </w:pPr>
      <w:r>
        <w:rPr>
          <w:rFonts w:ascii="仿宋_GB2312" w:eastAsia="仿宋_GB2312"/>
          <w:color w:val="auto"/>
          <w:sz w:val="32"/>
          <w:szCs w:val="32"/>
          <w:highlight w:val="none"/>
        </w:rPr>
        <w:drawing>
          <wp:anchor distT="0" distB="0" distL="114300" distR="114300" simplePos="0" relativeHeight="251665408" behindDoc="0" locked="0" layoutInCell="1" allowOverlap="1">
            <wp:simplePos x="0" y="0"/>
            <wp:positionH relativeFrom="column">
              <wp:posOffset>573405</wp:posOffset>
            </wp:positionH>
            <wp:positionV relativeFrom="paragraph">
              <wp:posOffset>29845</wp:posOffset>
            </wp:positionV>
            <wp:extent cx="4302760" cy="2273935"/>
            <wp:effectExtent l="4445" t="5080" r="17145" b="698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9" w:name="_Toc4971"/>
      <w:r>
        <w:rPr>
          <w:rFonts w:hint="eastAsia"/>
          <w:color w:val="auto"/>
          <w:sz w:val="32"/>
          <w:szCs w:val="32"/>
          <w:highlight w:val="none"/>
          <w:lang w:val="en-US" w:eastAsia="zh-CN"/>
        </w:rPr>
        <w:t xml:space="preserve">                  </w:t>
      </w:r>
      <w:r>
        <w:rPr>
          <w:rFonts w:hint="eastAsia" w:ascii="仿宋" w:hAnsi="仿宋" w:eastAsia="仿宋"/>
          <w:color w:val="auto"/>
          <w:kern w:val="2"/>
          <w:sz w:val="32"/>
          <w:szCs w:val="24"/>
          <w:highlight w:val="none"/>
          <w:lang w:val="en-US"/>
        </w:rPr>
        <w:t>支出决算结构图</w:t>
      </w:r>
    </w:p>
    <w:p>
      <w:pPr>
        <w:keepNext/>
        <w:keepLines/>
        <w:spacing w:line="576" w:lineRule="exact"/>
        <w:ind w:firstLine="320" w:firstLineChars="100"/>
        <w:jc w:val="both"/>
        <w:outlineLvl w:val="1"/>
        <w:rPr>
          <w:rFonts w:hint="eastAsia" w:ascii="黑体" w:hAnsi="黑体" w:eastAsia="黑体"/>
          <w:color w:val="auto"/>
          <w:kern w:val="2"/>
          <w:sz w:val="32"/>
          <w:szCs w:val="24"/>
          <w:highlight w:val="none"/>
          <w:lang w:val="zh-CN"/>
        </w:rPr>
      </w:pPr>
    </w:p>
    <w:p>
      <w:pPr>
        <w:keepNext/>
        <w:keepLines/>
        <w:spacing w:line="576" w:lineRule="exact"/>
        <w:ind w:firstLine="320" w:firstLineChars="100"/>
        <w:jc w:val="both"/>
        <w:outlineLvl w:val="1"/>
        <w:rPr>
          <w:rFonts w:hint="eastAsia" w:ascii="黑体" w:hAnsi="黑体" w:eastAsia="黑体"/>
          <w:color w:val="auto"/>
          <w:kern w:val="2"/>
          <w:sz w:val="32"/>
          <w:szCs w:val="24"/>
          <w:highlight w:val="none"/>
          <w:lang w:val="zh-CN"/>
        </w:rPr>
      </w:pPr>
      <w:r>
        <w:rPr>
          <w:rFonts w:hint="eastAsia" w:ascii="黑体" w:hAnsi="黑体" w:eastAsia="黑体"/>
          <w:color w:val="auto"/>
          <w:kern w:val="2"/>
          <w:sz w:val="32"/>
          <w:szCs w:val="24"/>
          <w:highlight w:val="none"/>
          <w:lang w:val="zh-CN"/>
        </w:rPr>
        <w:t>四、财政拨款收入支出决算总体情况说明</w:t>
      </w:r>
      <w:bookmarkEnd w:id="9"/>
    </w:p>
    <w:p>
      <w:pPr>
        <w:spacing w:line="576" w:lineRule="exact"/>
        <w:ind w:firstLine="640"/>
        <w:jc w:val="both"/>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color w:val="auto"/>
          <w:kern w:val="2"/>
          <w:sz w:val="32"/>
          <w:szCs w:val="24"/>
          <w:highlight w:val="none"/>
          <w:lang w:val="zh-CN"/>
        </w:rPr>
        <w:t>2022年财政拨款收、支总计141.54万元。与2021年相比，财政拨款收、支总计各减少184.83万元，下降56.6%。主要变动原因是</w:t>
      </w:r>
      <w:r>
        <w:rPr>
          <w:rFonts w:hint="eastAsia" w:ascii="仿宋_GB2312" w:hAnsi="仿宋_GB2312" w:eastAsia="仿宋_GB2312"/>
          <w:color w:val="auto"/>
          <w:kern w:val="2"/>
          <w:sz w:val="32"/>
          <w:szCs w:val="24"/>
          <w:highlight w:val="none"/>
          <w:lang w:val="en-US" w:eastAsia="zh-CN"/>
        </w:rPr>
        <w:t>人员减少、项目减少</w:t>
      </w:r>
      <w:r>
        <w:rPr>
          <w:rFonts w:hint="eastAsia" w:ascii="仿宋_GB2312" w:hAnsi="仿宋_GB2312" w:eastAsia="仿宋_GB2312"/>
          <w:color w:val="auto"/>
          <w:kern w:val="2"/>
          <w:sz w:val="32"/>
          <w:szCs w:val="24"/>
          <w:highlight w:val="none"/>
          <w:lang w:val="zh-CN"/>
        </w:rPr>
        <w:t>。</w:t>
      </w:r>
    </w:p>
    <w:p>
      <w:pPr>
        <w:spacing w:line="600" w:lineRule="exact"/>
        <w:ind w:firstLine="1488" w:firstLineChars="465"/>
        <w:jc w:val="both"/>
        <w:rPr>
          <w:rFonts w:hint="eastAsia" w:ascii="仿宋" w:hAnsi="仿宋" w:eastAsia="仿宋"/>
          <w:color w:val="auto"/>
          <w:kern w:val="2"/>
          <w:sz w:val="32"/>
          <w:szCs w:val="24"/>
          <w:highlight w:val="none"/>
          <w:lang w:val="en-US"/>
        </w:rPr>
      </w:pPr>
      <w:r>
        <w:rPr>
          <w:rFonts w:hint="eastAsia" w:ascii="仿宋" w:hAnsi="仿宋" w:eastAsia="仿宋"/>
          <w:color w:val="auto"/>
          <w:sz w:val="32"/>
          <w:szCs w:val="32"/>
          <w:highlight w:val="none"/>
        </w:rPr>
        <w:drawing>
          <wp:anchor distT="0" distB="0" distL="114300" distR="114300" simplePos="0" relativeHeight="251662336" behindDoc="0" locked="0" layoutInCell="1" allowOverlap="1">
            <wp:simplePos x="0" y="0"/>
            <wp:positionH relativeFrom="column">
              <wp:posOffset>242570</wp:posOffset>
            </wp:positionH>
            <wp:positionV relativeFrom="paragraph">
              <wp:posOffset>265430</wp:posOffset>
            </wp:positionV>
            <wp:extent cx="5059680" cy="2886075"/>
            <wp:effectExtent l="4445" t="4445" r="22225" b="508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kern w:val="2"/>
          <w:sz w:val="32"/>
          <w:szCs w:val="24"/>
          <w:highlight w:val="none"/>
          <w:lang w:val="en-US"/>
        </w:rPr>
        <w:t>财政拨款收、支决算总计变动情况</w:t>
      </w:r>
    </w:p>
    <w:p>
      <w:pPr>
        <w:pStyle w:val="2"/>
        <w:numPr>
          <w:ilvl w:val="0"/>
          <w:numId w:val="2"/>
        </w:numPr>
        <w:ind w:firstLine="321" w:firstLineChars="100"/>
        <w:outlineLvl w:val="1"/>
        <w:rPr>
          <w:rFonts w:hint="eastAsia" w:ascii="黑体" w:hAnsi="黑体" w:eastAsia="黑体"/>
          <w:color w:val="auto"/>
          <w:kern w:val="2"/>
          <w:sz w:val="32"/>
          <w:szCs w:val="24"/>
          <w:highlight w:val="none"/>
          <w:lang w:val="zh-CN"/>
        </w:rPr>
      </w:pPr>
      <w:bookmarkStart w:id="10" w:name="_Toc21719"/>
      <w:r>
        <w:rPr>
          <w:rFonts w:hint="eastAsia" w:ascii="黑体" w:hAnsi="黑体" w:eastAsia="黑体"/>
          <w:b/>
          <w:color w:val="auto"/>
          <w:kern w:val="2"/>
          <w:sz w:val="32"/>
          <w:szCs w:val="24"/>
          <w:highlight w:val="none"/>
          <w:lang w:val="zh-CN"/>
        </w:rPr>
        <w:t>一</w:t>
      </w:r>
      <w:r>
        <w:rPr>
          <w:rFonts w:hint="eastAsia" w:ascii="黑体" w:hAnsi="黑体" w:eastAsia="黑体"/>
          <w:color w:val="auto"/>
          <w:kern w:val="2"/>
          <w:sz w:val="32"/>
          <w:szCs w:val="24"/>
          <w:highlight w:val="none"/>
          <w:lang w:val="zh-CN"/>
        </w:rPr>
        <w:t>般公共预算财政拨款支出决算情况说明</w:t>
      </w:r>
      <w:bookmarkEnd w:id="10"/>
      <w:bookmarkStart w:id="11" w:name="_Toc27911"/>
    </w:p>
    <w:p>
      <w:pPr>
        <w:pStyle w:val="2"/>
        <w:numPr>
          <w:ilvl w:val="0"/>
          <w:numId w:val="3"/>
        </w:numPr>
        <w:ind w:firstLine="643" w:firstLineChars="200"/>
        <w:outlineLvl w:val="1"/>
        <w:rPr>
          <w:rFonts w:hint="eastAsia" w:ascii="仿宋_GB2312" w:hAnsi="仿宋_GB2312" w:eastAsia="仿宋_GB2312"/>
          <w:b/>
          <w:color w:val="auto"/>
          <w:kern w:val="2"/>
          <w:sz w:val="32"/>
          <w:szCs w:val="24"/>
          <w:highlight w:val="none"/>
          <w:lang w:val="zh-CN"/>
        </w:rPr>
      </w:pPr>
      <w:r>
        <w:rPr>
          <w:rFonts w:hint="eastAsia" w:ascii="仿宋_GB2312" w:hAnsi="仿宋_GB2312" w:eastAsia="仿宋_GB2312"/>
          <w:b/>
          <w:color w:val="auto"/>
          <w:kern w:val="2"/>
          <w:sz w:val="32"/>
          <w:szCs w:val="24"/>
          <w:highlight w:val="none"/>
          <w:lang w:val="zh-CN"/>
        </w:rPr>
        <w:t>一般公共预算财政拨款支出决算总体情况。</w:t>
      </w:r>
      <w:bookmarkEnd w:id="11"/>
    </w:p>
    <w:p>
      <w:pPr>
        <w:pStyle w:val="2"/>
        <w:numPr>
          <w:ilvl w:val="0"/>
          <w:numId w:val="0"/>
        </w:numPr>
        <w:ind w:firstLine="960" w:firstLineChars="300"/>
        <w:outlineLvl w:val="1"/>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color w:val="auto"/>
          <w:kern w:val="2"/>
          <w:sz w:val="32"/>
          <w:szCs w:val="24"/>
          <w:highlight w:val="none"/>
          <w:lang w:val="zh-CN"/>
        </w:rPr>
        <w:t>2022年一般公共预算财政拨款支出139.79万元，占本年支出合计的99.6%。与2021年相比，一般公共预算财政拨款支出减少174.67万元，下降55.5%。主要变动原因是</w:t>
      </w:r>
      <w:r>
        <w:rPr>
          <w:rFonts w:hint="eastAsia" w:ascii="仿宋_GB2312" w:hAnsi="仿宋_GB2312" w:eastAsia="仿宋_GB2312"/>
          <w:color w:val="auto"/>
          <w:kern w:val="2"/>
          <w:sz w:val="32"/>
          <w:szCs w:val="24"/>
          <w:highlight w:val="none"/>
          <w:lang w:val="en-US" w:eastAsia="zh-CN"/>
        </w:rPr>
        <w:t>人员减少</w:t>
      </w:r>
      <w:r>
        <w:rPr>
          <w:rFonts w:hint="eastAsia" w:ascii="仿宋_GB2312" w:hAnsi="仿宋_GB2312" w:eastAsia="仿宋_GB2312"/>
          <w:color w:val="auto"/>
          <w:kern w:val="2"/>
          <w:sz w:val="32"/>
          <w:szCs w:val="24"/>
          <w:highlight w:val="none"/>
          <w:lang w:val="zh-CN"/>
        </w:rPr>
        <w:t>。</w:t>
      </w:r>
    </w:p>
    <w:p>
      <w:pPr>
        <w:spacing w:line="600" w:lineRule="exact"/>
        <w:ind w:firstLine="1488" w:firstLineChars="465"/>
        <w:jc w:val="both"/>
        <w:rPr>
          <w:rFonts w:hint="eastAsia" w:ascii="仿宋" w:hAnsi="仿宋" w:eastAsia="仿宋"/>
          <w:color w:val="auto"/>
          <w:kern w:val="2"/>
          <w:sz w:val="32"/>
          <w:szCs w:val="24"/>
          <w:highlight w:val="none"/>
          <w:lang w:val="en-US"/>
        </w:rPr>
      </w:pPr>
      <w:r>
        <w:rPr>
          <w:rFonts w:hint="eastAsia" w:ascii="仿宋" w:hAnsi="仿宋" w:eastAsia="仿宋"/>
          <w:color w:val="auto"/>
          <w:sz w:val="32"/>
          <w:szCs w:val="32"/>
          <w:highlight w:val="none"/>
        </w:rPr>
        <w:drawing>
          <wp:anchor distT="0" distB="0" distL="114300" distR="114300" simplePos="0" relativeHeight="251663360" behindDoc="0" locked="0" layoutInCell="1" allowOverlap="1">
            <wp:simplePos x="0" y="0"/>
            <wp:positionH relativeFrom="column">
              <wp:posOffset>515620</wp:posOffset>
            </wp:positionH>
            <wp:positionV relativeFrom="paragraph">
              <wp:posOffset>127000</wp:posOffset>
            </wp:positionV>
            <wp:extent cx="4782820" cy="2155190"/>
            <wp:effectExtent l="5080" t="4445" r="12700" b="1206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kern w:val="2"/>
          <w:sz w:val="32"/>
          <w:szCs w:val="24"/>
          <w:highlight w:val="none"/>
          <w:lang w:val="en-US"/>
        </w:rPr>
        <w:t>一般公共预算财政拨款支出决算变动情况</w:t>
      </w:r>
    </w:p>
    <w:p>
      <w:pPr>
        <w:keepNext/>
        <w:keepLines/>
        <w:spacing w:line="576" w:lineRule="exact"/>
        <w:ind w:firstLine="964" w:firstLineChars="300"/>
        <w:jc w:val="both"/>
        <w:outlineLvl w:val="2"/>
        <w:rPr>
          <w:rFonts w:hint="eastAsia" w:ascii="仿宋_GB2312" w:hAnsi="仿宋_GB2312" w:eastAsia="仿宋_GB2312"/>
          <w:b/>
          <w:color w:val="auto"/>
          <w:kern w:val="2"/>
          <w:sz w:val="32"/>
          <w:szCs w:val="24"/>
          <w:highlight w:val="none"/>
          <w:lang w:val="zh-CN"/>
        </w:rPr>
      </w:pPr>
      <w:bookmarkStart w:id="12" w:name="_Toc21005"/>
      <w:r>
        <w:rPr>
          <w:rFonts w:hint="eastAsia" w:ascii="仿宋_GB2312" w:hAnsi="仿宋_GB2312" w:eastAsia="仿宋_GB2312"/>
          <w:b/>
          <w:color w:val="auto"/>
          <w:kern w:val="2"/>
          <w:sz w:val="32"/>
          <w:szCs w:val="24"/>
          <w:highlight w:val="none"/>
          <w:lang w:val="zh-CN"/>
        </w:rPr>
        <w:t>（二）一般公共预算财政拨款支出决算结构情况。</w:t>
      </w:r>
      <w:bookmarkEnd w:id="12"/>
    </w:p>
    <w:p>
      <w:pPr>
        <w:keepNext/>
        <w:keepLines/>
        <w:spacing w:line="576" w:lineRule="exact"/>
        <w:ind w:firstLine="640"/>
        <w:jc w:val="both"/>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color w:val="auto"/>
          <w:kern w:val="2"/>
          <w:sz w:val="32"/>
          <w:szCs w:val="24"/>
          <w:highlight w:val="none"/>
          <w:lang w:val="zh-CN"/>
        </w:rPr>
        <w:t>2022年一般公共预算财政拨款支出139.79万元，主要用于以下方面：文化体育与传媒支出119.01万元，占85%；社会保障和就业支出</w:t>
      </w:r>
      <w:r>
        <w:rPr>
          <w:rFonts w:hint="eastAsia" w:ascii="仿宋_GB2312" w:hAnsi="仿宋_GB2312" w:eastAsia="仿宋_GB2312"/>
          <w:color w:val="auto"/>
          <w:kern w:val="2"/>
          <w:sz w:val="32"/>
          <w:szCs w:val="24"/>
          <w:highlight w:val="none"/>
          <w:lang w:val="en-US" w:eastAsia="zh-CN"/>
        </w:rPr>
        <w:t>6.96</w:t>
      </w:r>
      <w:r>
        <w:rPr>
          <w:rFonts w:hint="eastAsia" w:ascii="仿宋_GB2312" w:hAnsi="仿宋_GB2312" w:eastAsia="仿宋_GB2312"/>
          <w:color w:val="auto"/>
          <w:kern w:val="2"/>
          <w:sz w:val="32"/>
          <w:szCs w:val="24"/>
          <w:highlight w:val="none"/>
          <w:lang w:val="zh-CN"/>
        </w:rPr>
        <w:t>万元，占5%；卫生健康支出3.82万元，占2.7%；住房保障支出9.99万元，占</w:t>
      </w:r>
      <w:r>
        <w:rPr>
          <w:rFonts w:hint="eastAsia" w:ascii="仿宋_GB2312" w:hAnsi="仿宋_GB2312" w:eastAsia="仿宋_GB2312"/>
          <w:color w:val="auto"/>
          <w:kern w:val="2"/>
          <w:sz w:val="32"/>
          <w:szCs w:val="24"/>
          <w:highlight w:val="none"/>
          <w:lang w:val="en-US" w:eastAsia="zh-CN"/>
        </w:rPr>
        <w:t>7</w:t>
      </w:r>
      <w:r>
        <w:rPr>
          <w:rFonts w:hint="eastAsia" w:ascii="仿宋_GB2312" w:hAnsi="仿宋_GB2312" w:eastAsia="仿宋_GB2312"/>
          <w:color w:val="auto"/>
          <w:kern w:val="2"/>
          <w:sz w:val="32"/>
          <w:szCs w:val="24"/>
          <w:highlight w:val="none"/>
          <w:lang w:val="zh-CN"/>
        </w:rPr>
        <w:t>%。</w:t>
      </w: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r>
        <w:rPr>
          <w:rFonts w:hint="eastAsia" w:ascii="仿宋" w:hAnsi="仿宋" w:eastAsia="仿宋"/>
          <w:color w:val="auto"/>
          <w:sz w:val="32"/>
          <w:szCs w:val="32"/>
          <w:highlight w:val="none"/>
        </w:rPr>
        <w:drawing>
          <wp:anchor distT="0" distB="0" distL="114300" distR="114300" simplePos="0" relativeHeight="251664384" behindDoc="0" locked="0" layoutInCell="1" allowOverlap="1">
            <wp:simplePos x="0" y="0"/>
            <wp:positionH relativeFrom="column">
              <wp:posOffset>583565</wp:posOffset>
            </wp:positionH>
            <wp:positionV relativeFrom="paragraph">
              <wp:posOffset>142240</wp:posOffset>
            </wp:positionV>
            <wp:extent cx="4469130" cy="2282825"/>
            <wp:effectExtent l="4445" t="4445" r="22225" b="1778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kern w:val="2"/>
          <w:sz w:val="32"/>
          <w:szCs w:val="24"/>
          <w:highlight w:val="none"/>
          <w:lang w:val="en-US"/>
        </w:rPr>
        <w:t>一般公共预算财政拨款支出决算结构</w:t>
      </w:r>
    </w:p>
    <w:p>
      <w:pPr>
        <w:pStyle w:val="2"/>
        <w:rPr>
          <w:rFonts w:hint="eastAsia" w:ascii="仿宋" w:hAnsi="仿宋" w:eastAsia="仿宋"/>
          <w:color w:val="auto"/>
          <w:kern w:val="2"/>
          <w:sz w:val="32"/>
          <w:szCs w:val="24"/>
          <w:highlight w:val="none"/>
          <w:lang w:val="en-US"/>
        </w:rPr>
      </w:pPr>
    </w:p>
    <w:p>
      <w:pPr>
        <w:pStyle w:val="2"/>
        <w:rPr>
          <w:rFonts w:hint="eastAsia" w:ascii="仿宋" w:hAnsi="仿宋" w:eastAsia="仿宋"/>
          <w:color w:val="auto"/>
          <w:kern w:val="2"/>
          <w:sz w:val="32"/>
          <w:szCs w:val="24"/>
          <w:highlight w:val="none"/>
          <w:lang w:val="en-US"/>
        </w:rPr>
      </w:pPr>
    </w:p>
    <w:p>
      <w:pPr>
        <w:keepNext/>
        <w:keepLines/>
        <w:spacing w:line="576" w:lineRule="exact"/>
        <w:ind w:firstLine="321" w:firstLineChars="100"/>
        <w:jc w:val="both"/>
        <w:outlineLvl w:val="2"/>
        <w:rPr>
          <w:rFonts w:hint="eastAsia" w:ascii="仿宋_GB2312" w:hAnsi="仿宋_GB2312" w:eastAsia="仿宋_GB2312"/>
          <w:b/>
          <w:color w:val="auto"/>
          <w:kern w:val="2"/>
          <w:sz w:val="32"/>
          <w:szCs w:val="24"/>
          <w:highlight w:val="none"/>
          <w:lang w:val="zh-CN"/>
        </w:rPr>
      </w:pPr>
      <w:bookmarkStart w:id="13" w:name="_Toc4463"/>
      <w:r>
        <w:rPr>
          <w:rFonts w:hint="eastAsia" w:ascii="仿宋_GB2312" w:hAnsi="仿宋_GB2312" w:eastAsia="仿宋_GB2312"/>
          <w:b/>
          <w:color w:val="auto"/>
          <w:kern w:val="2"/>
          <w:sz w:val="32"/>
          <w:szCs w:val="24"/>
          <w:highlight w:val="none"/>
          <w:lang w:val="zh-CN"/>
        </w:rPr>
        <w:t>（三）一般公共预算财政拨款支出决算具体情况。</w:t>
      </w:r>
      <w:bookmarkEnd w:id="13"/>
    </w:p>
    <w:p>
      <w:pPr>
        <w:keepNext/>
        <w:keepLines/>
        <w:spacing w:line="576" w:lineRule="exact"/>
        <w:ind w:firstLine="643"/>
        <w:jc w:val="both"/>
        <w:rPr>
          <w:rFonts w:hint="eastAsia" w:ascii="仿宋_GB2312" w:hAnsi="仿宋_GB2312" w:eastAsia="仿宋_GB2312"/>
          <w:b/>
          <w:color w:val="auto"/>
          <w:kern w:val="2"/>
          <w:sz w:val="32"/>
          <w:szCs w:val="24"/>
          <w:highlight w:val="none"/>
          <w:lang w:val="zh-CN"/>
        </w:rPr>
      </w:pPr>
      <w:r>
        <w:rPr>
          <w:rFonts w:hint="eastAsia" w:ascii="仿宋_GB2312" w:hAnsi="仿宋_GB2312" w:eastAsia="仿宋_GB2312"/>
          <w:b/>
          <w:color w:val="auto"/>
          <w:kern w:val="2"/>
          <w:sz w:val="32"/>
          <w:szCs w:val="24"/>
          <w:highlight w:val="none"/>
          <w:lang w:val="zh-CN"/>
        </w:rPr>
        <w:t>2022年一般公共预算支出决算数为139.79万元</w:t>
      </w:r>
      <w:r>
        <w:rPr>
          <w:rFonts w:hint="eastAsia" w:ascii="仿宋_GB2312" w:hAnsi="仿宋_GB2312" w:eastAsia="仿宋_GB2312"/>
          <w:color w:val="auto"/>
          <w:kern w:val="2"/>
          <w:sz w:val="32"/>
          <w:szCs w:val="24"/>
          <w:highlight w:val="none"/>
          <w:lang w:val="zh-CN"/>
        </w:rPr>
        <w:t>，</w:t>
      </w:r>
      <w:r>
        <w:rPr>
          <w:rFonts w:hint="eastAsia" w:ascii="仿宋_GB2312" w:hAnsi="仿宋_GB2312" w:eastAsia="仿宋_GB2312"/>
          <w:b/>
          <w:color w:val="auto"/>
          <w:kern w:val="2"/>
          <w:sz w:val="32"/>
          <w:szCs w:val="24"/>
          <w:highlight w:val="none"/>
          <w:lang w:val="zh-CN"/>
        </w:rPr>
        <w:t>完成预算98.8%。其中：</w:t>
      </w:r>
    </w:p>
    <w:p>
      <w:pPr>
        <w:numPr>
          <w:ilvl w:val="0"/>
          <w:numId w:val="0"/>
        </w:numPr>
        <w:spacing w:line="600" w:lineRule="exact"/>
        <w:ind w:firstLine="964" w:firstLineChars="300"/>
        <w:rPr>
          <w:rStyle w:val="9"/>
          <w:rFonts w:hint="eastAsia" w:ascii="仿宋" w:hAnsi="仿宋" w:eastAsia="仿宋"/>
          <w:b w:val="0"/>
          <w:color w:val="auto"/>
          <w:sz w:val="32"/>
          <w:szCs w:val="24"/>
          <w:highlight w:val="none"/>
        </w:rPr>
      </w:pPr>
      <w:r>
        <w:rPr>
          <w:rStyle w:val="9"/>
          <w:rFonts w:hint="eastAsia" w:ascii="仿宋" w:hAnsi="仿宋" w:eastAsia="仿宋"/>
          <w:color w:val="auto"/>
          <w:sz w:val="32"/>
          <w:szCs w:val="24"/>
          <w:highlight w:val="none"/>
          <w:lang w:val="en-US" w:eastAsia="zh-CN"/>
        </w:rPr>
        <w:t>1.</w:t>
      </w:r>
      <w:r>
        <w:rPr>
          <w:rStyle w:val="9"/>
          <w:rFonts w:hint="eastAsia" w:ascii="仿宋" w:hAnsi="仿宋" w:eastAsia="仿宋"/>
          <w:color w:val="auto"/>
          <w:sz w:val="32"/>
          <w:szCs w:val="24"/>
          <w:highlight w:val="none"/>
        </w:rPr>
        <w:t>文化旅游体育与传媒（类）文化和旅游（款）</w:t>
      </w:r>
      <w:r>
        <w:rPr>
          <w:rStyle w:val="9"/>
          <w:rFonts w:hint="eastAsia" w:ascii="Times New Roman" w:hAnsi="仿宋" w:eastAsia="仿宋"/>
          <w:color w:val="auto"/>
          <w:sz w:val="32"/>
          <w:szCs w:val="24"/>
          <w:highlight w:val="none"/>
        </w:rPr>
        <w:t>文物创作与保护</w:t>
      </w:r>
      <w:r>
        <w:rPr>
          <w:rStyle w:val="9"/>
          <w:rFonts w:hint="eastAsia" w:ascii="仿宋" w:hAnsi="仿宋" w:eastAsia="仿宋"/>
          <w:color w:val="auto"/>
          <w:sz w:val="32"/>
          <w:szCs w:val="24"/>
          <w:highlight w:val="none"/>
        </w:rPr>
        <w:t>（项）</w:t>
      </w:r>
      <w:r>
        <w:rPr>
          <w:rStyle w:val="9"/>
          <w:rFonts w:hint="eastAsia" w:ascii="仿宋" w:hAnsi="仿宋" w:eastAsia="仿宋"/>
          <w:color w:val="auto"/>
          <w:sz w:val="32"/>
          <w:szCs w:val="24"/>
          <w:highlight w:val="none"/>
          <w:lang w:eastAsia="zh-CN"/>
        </w:rPr>
        <w:t>：</w:t>
      </w:r>
      <w:r>
        <w:rPr>
          <w:rStyle w:val="9"/>
          <w:rFonts w:hint="eastAsia" w:ascii="仿宋" w:hAnsi="仿宋" w:eastAsia="仿宋"/>
          <w:b w:val="0"/>
          <w:color w:val="auto"/>
          <w:sz w:val="32"/>
          <w:szCs w:val="24"/>
          <w:highlight w:val="none"/>
        </w:rPr>
        <w:t>支出决算为</w:t>
      </w:r>
      <w:r>
        <w:rPr>
          <w:rStyle w:val="9"/>
          <w:rFonts w:hint="eastAsia" w:ascii="仿宋" w:hAnsi="仿宋" w:eastAsia="仿宋"/>
          <w:b w:val="0"/>
          <w:color w:val="auto"/>
          <w:sz w:val="32"/>
          <w:szCs w:val="24"/>
          <w:highlight w:val="none"/>
          <w:lang w:val="en-US" w:eastAsia="zh-CN"/>
        </w:rPr>
        <w:t>119.01</w:t>
      </w:r>
      <w:r>
        <w:rPr>
          <w:rStyle w:val="9"/>
          <w:rFonts w:hint="eastAsia" w:ascii="仿宋" w:hAnsi="仿宋" w:eastAsia="仿宋"/>
          <w:b w:val="0"/>
          <w:color w:val="auto"/>
          <w:sz w:val="32"/>
          <w:szCs w:val="24"/>
          <w:highlight w:val="none"/>
        </w:rPr>
        <w:t>万元，完成预算</w:t>
      </w:r>
      <w:r>
        <w:rPr>
          <w:rStyle w:val="9"/>
          <w:rFonts w:hint="eastAsia" w:ascii="仿宋" w:hAnsi="仿宋" w:eastAsia="仿宋"/>
          <w:b w:val="0"/>
          <w:color w:val="auto"/>
          <w:sz w:val="32"/>
          <w:szCs w:val="24"/>
          <w:highlight w:val="none"/>
          <w:lang w:val="en-US" w:eastAsia="zh-CN"/>
        </w:rPr>
        <w:t>100</w:t>
      </w:r>
      <w:r>
        <w:rPr>
          <w:rStyle w:val="9"/>
          <w:rFonts w:hint="eastAsia" w:ascii="仿宋" w:hAnsi="仿宋" w:eastAsia="仿宋"/>
          <w:b w:val="0"/>
          <w:color w:val="auto"/>
          <w:sz w:val="32"/>
          <w:szCs w:val="24"/>
          <w:highlight w:val="none"/>
        </w:rPr>
        <w:t>%，决算数与预算数持平。</w:t>
      </w:r>
    </w:p>
    <w:p>
      <w:pPr>
        <w:numPr>
          <w:ilvl w:val="0"/>
          <w:numId w:val="0"/>
        </w:numPr>
        <w:spacing w:line="600" w:lineRule="exact"/>
        <w:ind w:firstLine="964" w:firstLineChars="300"/>
        <w:rPr>
          <w:rStyle w:val="9"/>
          <w:rFonts w:hint="eastAsia" w:ascii="仿宋" w:hAnsi="仿宋" w:eastAsia="仿宋"/>
          <w:b w:val="0"/>
          <w:color w:val="auto"/>
          <w:sz w:val="32"/>
          <w:szCs w:val="24"/>
          <w:highlight w:val="none"/>
        </w:rPr>
      </w:pPr>
      <w:r>
        <w:rPr>
          <w:rStyle w:val="9"/>
          <w:rFonts w:hint="eastAsia" w:ascii="仿宋" w:hAnsi="仿宋" w:eastAsia="仿宋"/>
          <w:color w:val="auto"/>
          <w:sz w:val="32"/>
          <w:szCs w:val="24"/>
          <w:highlight w:val="none"/>
        </w:rPr>
        <w:t>2.社会保障和就业（类）行政事业单位养老支出（款）机关事业单位基本养老保险缴费支出（项）</w:t>
      </w:r>
      <w:r>
        <w:rPr>
          <w:rStyle w:val="9"/>
          <w:rFonts w:hint="eastAsia" w:ascii="仿宋" w:hAnsi="仿宋" w:eastAsia="仿宋"/>
          <w:color w:val="auto"/>
          <w:sz w:val="32"/>
          <w:szCs w:val="24"/>
          <w:highlight w:val="none"/>
          <w:lang w:eastAsia="zh-CN"/>
        </w:rPr>
        <w:t>：</w:t>
      </w:r>
      <w:r>
        <w:rPr>
          <w:rStyle w:val="9"/>
          <w:rFonts w:hint="eastAsia" w:ascii="仿宋" w:hAnsi="仿宋" w:eastAsia="仿宋"/>
          <w:b w:val="0"/>
          <w:color w:val="auto"/>
          <w:sz w:val="32"/>
          <w:szCs w:val="24"/>
          <w:highlight w:val="none"/>
        </w:rPr>
        <w:t>支出决算为</w:t>
      </w:r>
      <w:r>
        <w:rPr>
          <w:rStyle w:val="9"/>
          <w:rFonts w:hint="eastAsia" w:ascii="仿宋" w:hAnsi="仿宋" w:eastAsia="仿宋"/>
          <w:b w:val="0"/>
          <w:color w:val="auto"/>
          <w:sz w:val="32"/>
          <w:szCs w:val="24"/>
          <w:highlight w:val="none"/>
          <w:lang w:val="en-US" w:eastAsia="zh-CN"/>
        </w:rPr>
        <w:t>6.96</w:t>
      </w:r>
      <w:r>
        <w:rPr>
          <w:rStyle w:val="9"/>
          <w:rFonts w:hint="eastAsia" w:ascii="仿宋" w:hAnsi="仿宋" w:eastAsia="仿宋"/>
          <w:b w:val="0"/>
          <w:color w:val="auto"/>
          <w:sz w:val="32"/>
          <w:szCs w:val="24"/>
          <w:highlight w:val="none"/>
        </w:rPr>
        <w:t>万元，完成预算</w:t>
      </w:r>
      <w:r>
        <w:rPr>
          <w:rStyle w:val="9"/>
          <w:rFonts w:hint="eastAsia" w:ascii="仿宋" w:hAnsi="仿宋" w:eastAsia="仿宋"/>
          <w:b w:val="0"/>
          <w:color w:val="auto"/>
          <w:sz w:val="32"/>
          <w:szCs w:val="24"/>
          <w:highlight w:val="none"/>
          <w:lang w:val="en-US" w:eastAsia="zh-CN"/>
        </w:rPr>
        <w:t>79.9</w:t>
      </w:r>
      <w:r>
        <w:rPr>
          <w:rStyle w:val="9"/>
          <w:rFonts w:hint="eastAsia" w:ascii="仿宋" w:hAnsi="仿宋" w:eastAsia="仿宋"/>
          <w:b w:val="0"/>
          <w:color w:val="auto"/>
          <w:sz w:val="32"/>
          <w:szCs w:val="24"/>
          <w:highlight w:val="none"/>
        </w:rPr>
        <w:t>%，决算数小于预算数的主要原因是</w:t>
      </w:r>
      <w:r>
        <w:rPr>
          <w:rStyle w:val="9"/>
          <w:rFonts w:hint="eastAsia" w:ascii="仿宋" w:hAnsi="仿宋" w:eastAsia="仿宋"/>
          <w:b w:val="0"/>
          <w:color w:val="auto"/>
          <w:sz w:val="32"/>
          <w:szCs w:val="24"/>
          <w:highlight w:val="none"/>
          <w:lang w:val="en-US" w:eastAsia="zh-CN"/>
        </w:rPr>
        <w:t>代扣各项保险未缴纳</w:t>
      </w:r>
      <w:r>
        <w:rPr>
          <w:rStyle w:val="9"/>
          <w:rFonts w:hint="eastAsia" w:ascii="仿宋" w:hAnsi="仿宋" w:eastAsia="仿宋"/>
          <w:b w:val="0"/>
          <w:color w:val="auto"/>
          <w:sz w:val="32"/>
          <w:szCs w:val="24"/>
          <w:highlight w:val="none"/>
        </w:rPr>
        <w:t>。</w:t>
      </w:r>
      <w:r>
        <w:rPr>
          <w:rStyle w:val="9"/>
          <w:rFonts w:hint="eastAsia" w:ascii="仿宋" w:hAnsi="仿宋" w:eastAsia="仿宋"/>
          <w:color w:val="auto"/>
          <w:sz w:val="32"/>
          <w:szCs w:val="24"/>
          <w:highlight w:val="none"/>
        </w:rPr>
        <w:t xml:space="preserve"> </w:t>
      </w:r>
    </w:p>
    <w:p>
      <w:pPr>
        <w:spacing w:line="600" w:lineRule="exact"/>
        <w:ind w:firstLine="643" w:firstLineChars="200"/>
        <w:rPr>
          <w:rStyle w:val="9"/>
          <w:rFonts w:hint="eastAsia" w:ascii="仿宋" w:hAnsi="仿宋" w:eastAsia="仿宋"/>
          <w:color w:val="auto"/>
          <w:sz w:val="32"/>
          <w:szCs w:val="24"/>
          <w:highlight w:val="none"/>
        </w:rPr>
      </w:pPr>
      <w:r>
        <w:rPr>
          <w:rStyle w:val="9"/>
          <w:rFonts w:hint="eastAsia" w:ascii="仿宋" w:hAnsi="仿宋" w:eastAsia="仿宋"/>
          <w:color w:val="auto"/>
          <w:sz w:val="32"/>
          <w:szCs w:val="24"/>
          <w:highlight w:val="none"/>
        </w:rPr>
        <w:t>3.</w:t>
      </w:r>
      <w:r>
        <w:rPr>
          <w:rFonts w:hint="eastAsia" w:ascii="仿宋" w:hAnsi="仿宋" w:eastAsia="仿宋"/>
          <w:b/>
          <w:color w:val="auto"/>
          <w:sz w:val="32"/>
          <w:szCs w:val="24"/>
          <w:highlight w:val="none"/>
        </w:rPr>
        <w:t>卫生健康支出（类）行政事业单位医疗（款）事业单位医疗（项）</w:t>
      </w:r>
      <w:r>
        <w:rPr>
          <w:rFonts w:hint="eastAsia" w:ascii="仿宋" w:hAnsi="仿宋" w:eastAsia="仿宋"/>
          <w:b/>
          <w:color w:val="auto"/>
          <w:sz w:val="32"/>
          <w:szCs w:val="24"/>
          <w:highlight w:val="none"/>
          <w:lang w:eastAsia="zh-CN"/>
        </w:rPr>
        <w:t>：</w:t>
      </w:r>
      <w:r>
        <w:rPr>
          <w:rFonts w:hint="eastAsia" w:ascii="仿宋" w:hAnsi="仿宋" w:eastAsia="仿宋"/>
          <w:color w:val="auto"/>
          <w:sz w:val="32"/>
          <w:szCs w:val="24"/>
          <w:highlight w:val="none"/>
        </w:rPr>
        <w:t>支出决算为</w:t>
      </w:r>
      <w:r>
        <w:rPr>
          <w:rFonts w:hint="eastAsia" w:ascii="仿宋" w:hAnsi="仿宋" w:eastAsia="仿宋"/>
          <w:color w:val="auto"/>
          <w:sz w:val="32"/>
          <w:szCs w:val="24"/>
          <w:highlight w:val="none"/>
          <w:lang w:val="en-US" w:eastAsia="zh-CN"/>
        </w:rPr>
        <w:t>3.82</w:t>
      </w:r>
      <w:r>
        <w:rPr>
          <w:rFonts w:hint="eastAsia" w:ascii="仿宋" w:hAnsi="仿宋" w:eastAsia="仿宋"/>
          <w:color w:val="auto"/>
          <w:sz w:val="32"/>
          <w:szCs w:val="24"/>
          <w:highlight w:val="none"/>
        </w:rPr>
        <w:t>万元，完成预算100%，决算数与预算数持平。</w:t>
      </w:r>
    </w:p>
    <w:p>
      <w:pPr>
        <w:spacing w:line="600" w:lineRule="exact"/>
        <w:ind w:firstLine="643" w:firstLineChars="200"/>
        <w:rPr>
          <w:rFonts w:hint="eastAsia" w:ascii="仿宋" w:hAnsi="仿宋" w:eastAsia="仿宋"/>
          <w:b/>
          <w:color w:val="auto"/>
          <w:sz w:val="32"/>
          <w:szCs w:val="24"/>
          <w:highlight w:val="none"/>
        </w:rPr>
      </w:pPr>
      <w:r>
        <w:rPr>
          <w:rFonts w:hint="eastAsia" w:ascii="仿宋" w:hAnsi="仿宋" w:eastAsia="仿宋"/>
          <w:b/>
          <w:color w:val="auto"/>
          <w:sz w:val="32"/>
          <w:szCs w:val="24"/>
          <w:highlight w:val="none"/>
        </w:rPr>
        <w:t>4.住房保障（类）住房改革支出（款）住房公积金（项）</w:t>
      </w:r>
      <w:r>
        <w:rPr>
          <w:rFonts w:hint="eastAsia" w:ascii="仿宋" w:hAnsi="仿宋" w:eastAsia="仿宋"/>
          <w:b/>
          <w:color w:val="auto"/>
          <w:sz w:val="32"/>
          <w:szCs w:val="24"/>
          <w:highlight w:val="none"/>
          <w:lang w:eastAsia="zh-CN"/>
        </w:rPr>
        <w:t>：</w:t>
      </w:r>
      <w:r>
        <w:rPr>
          <w:rFonts w:hint="eastAsia" w:ascii="仿宋" w:hAnsi="仿宋" w:eastAsia="仿宋"/>
          <w:color w:val="auto"/>
          <w:sz w:val="32"/>
          <w:szCs w:val="24"/>
          <w:highlight w:val="none"/>
        </w:rPr>
        <w:t>支出决算为</w:t>
      </w:r>
      <w:r>
        <w:rPr>
          <w:rFonts w:hint="eastAsia" w:ascii="仿宋" w:hAnsi="仿宋" w:eastAsia="仿宋"/>
          <w:color w:val="auto"/>
          <w:sz w:val="32"/>
          <w:szCs w:val="24"/>
          <w:highlight w:val="none"/>
          <w:lang w:val="en-US" w:eastAsia="zh-CN"/>
        </w:rPr>
        <w:t>9.99</w:t>
      </w:r>
      <w:r>
        <w:rPr>
          <w:rFonts w:hint="eastAsia" w:ascii="仿宋" w:hAnsi="仿宋" w:eastAsia="仿宋"/>
          <w:color w:val="auto"/>
          <w:sz w:val="32"/>
          <w:szCs w:val="24"/>
          <w:highlight w:val="none"/>
        </w:rPr>
        <w:t>万元，完成预算100%，决算数与预算数持平。</w:t>
      </w:r>
    </w:p>
    <w:p>
      <w:pPr>
        <w:keepNext/>
        <w:keepLines/>
        <w:tabs>
          <w:tab w:val="right" w:pos="8306"/>
        </w:tabs>
        <w:spacing w:line="576" w:lineRule="exact"/>
        <w:ind w:firstLine="640"/>
        <w:jc w:val="both"/>
        <w:outlineLvl w:val="1"/>
        <w:rPr>
          <w:rFonts w:hint="default" w:ascii="Cambria" w:hAnsi="Cambria" w:eastAsia="Cambria"/>
          <w:b/>
          <w:color w:val="auto"/>
          <w:kern w:val="2"/>
          <w:sz w:val="32"/>
          <w:szCs w:val="24"/>
          <w:highlight w:val="none"/>
          <w:lang w:val="zh-CN"/>
        </w:rPr>
      </w:pPr>
      <w:bookmarkStart w:id="14" w:name="_Toc25181"/>
      <w:r>
        <w:rPr>
          <w:rFonts w:hint="eastAsia" w:ascii="黑体" w:hAnsi="黑体" w:eastAsia="黑体"/>
          <w:color w:val="auto"/>
          <w:kern w:val="2"/>
          <w:sz w:val="32"/>
          <w:szCs w:val="24"/>
          <w:highlight w:val="none"/>
          <w:lang w:val="zh-CN"/>
        </w:rPr>
        <w:t>六</w:t>
      </w:r>
      <w:r>
        <w:rPr>
          <w:rFonts w:hint="eastAsia" w:ascii="黑体" w:hAnsi="黑体" w:eastAsia="黑体"/>
          <w:b/>
          <w:color w:val="auto"/>
          <w:kern w:val="2"/>
          <w:sz w:val="32"/>
          <w:szCs w:val="24"/>
          <w:highlight w:val="none"/>
          <w:lang w:val="zh-CN"/>
        </w:rPr>
        <w:t>、一</w:t>
      </w:r>
      <w:r>
        <w:rPr>
          <w:rFonts w:hint="eastAsia" w:ascii="黑体" w:hAnsi="黑体" w:eastAsia="黑体"/>
          <w:color w:val="auto"/>
          <w:kern w:val="2"/>
          <w:sz w:val="32"/>
          <w:szCs w:val="24"/>
          <w:highlight w:val="none"/>
          <w:lang w:val="zh-CN"/>
        </w:rPr>
        <w:t>般公共预算财政拨款基本支出决算情况说明</w:t>
      </w:r>
      <w:bookmarkEnd w:id="14"/>
      <w:r>
        <w:rPr>
          <w:rFonts w:hint="eastAsia" w:ascii="黑体" w:hAnsi="黑体" w:eastAsia="黑体"/>
          <w:color w:val="auto"/>
          <w:kern w:val="2"/>
          <w:sz w:val="32"/>
          <w:szCs w:val="24"/>
          <w:highlight w:val="none"/>
          <w:lang w:val="zh-CN"/>
        </w:rPr>
        <w:tab/>
      </w:r>
    </w:p>
    <w:p>
      <w:pPr>
        <w:spacing w:line="576" w:lineRule="exact"/>
        <w:ind w:firstLine="640"/>
        <w:jc w:val="both"/>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color w:val="auto"/>
          <w:kern w:val="2"/>
          <w:sz w:val="32"/>
          <w:szCs w:val="24"/>
          <w:highlight w:val="none"/>
          <w:lang w:val="zh-CN"/>
        </w:rPr>
        <w:t>2022年一般公共预算财政拨款基本支出</w:t>
      </w:r>
      <w:r>
        <w:rPr>
          <w:rFonts w:hint="eastAsia" w:ascii="仿宋_GB2312" w:hAnsi="仿宋_GB2312" w:eastAsia="仿宋_GB2312"/>
          <w:color w:val="auto"/>
          <w:kern w:val="2"/>
          <w:sz w:val="32"/>
          <w:szCs w:val="24"/>
          <w:highlight w:val="none"/>
          <w:lang w:val="en-US" w:eastAsia="zh-CN"/>
        </w:rPr>
        <w:t>110.03</w:t>
      </w:r>
      <w:r>
        <w:rPr>
          <w:rFonts w:hint="eastAsia" w:ascii="仿宋_GB2312" w:hAnsi="仿宋_GB2312" w:eastAsia="仿宋_GB2312"/>
          <w:color w:val="auto"/>
          <w:kern w:val="2"/>
          <w:sz w:val="32"/>
          <w:szCs w:val="24"/>
          <w:highlight w:val="none"/>
          <w:lang w:val="zh-CN"/>
        </w:rPr>
        <w:t>万元，其中：</w:t>
      </w:r>
    </w:p>
    <w:p>
      <w:pPr>
        <w:spacing w:line="576" w:lineRule="exact"/>
        <w:ind w:firstLine="643"/>
        <w:jc w:val="both"/>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b/>
          <w:color w:val="auto"/>
          <w:kern w:val="2"/>
          <w:sz w:val="32"/>
          <w:szCs w:val="24"/>
          <w:highlight w:val="none"/>
          <w:lang w:val="zh-CN"/>
        </w:rPr>
        <w:t>人员经费</w:t>
      </w:r>
      <w:r>
        <w:rPr>
          <w:rFonts w:hint="eastAsia" w:ascii="仿宋_GB2312" w:hAnsi="仿宋_GB2312" w:eastAsia="仿宋_GB2312"/>
          <w:color w:val="auto"/>
          <w:kern w:val="2"/>
          <w:sz w:val="32"/>
          <w:szCs w:val="24"/>
          <w:highlight w:val="none"/>
          <w:lang w:val="zh-CN"/>
        </w:rPr>
        <w:t>100.5万元，主要包括：</w:t>
      </w:r>
      <w:r>
        <w:rPr>
          <w:rFonts w:hint="eastAsia" w:ascii="仿宋" w:hAnsi="仿宋" w:eastAsia="仿宋"/>
          <w:color w:val="auto"/>
          <w:kern w:val="2"/>
          <w:sz w:val="32"/>
          <w:szCs w:val="24"/>
          <w:highlight w:val="none"/>
          <w:lang w:val="en-US"/>
        </w:rPr>
        <w:t>基本工资、津贴补贴、奖金、绩效工资、机关事业单位基本养老保险缴费、职工基本医疗保险缴费</w:t>
      </w:r>
      <w:r>
        <w:rPr>
          <w:rFonts w:hint="eastAsia" w:ascii="仿宋" w:hAnsi="仿宋" w:eastAsia="仿宋"/>
          <w:color w:val="auto"/>
          <w:kern w:val="2"/>
          <w:sz w:val="32"/>
          <w:szCs w:val="24"/>
          <w:highlight w:val="none"/>
          <w:lang w:val="en-US" w:eastAsia="zh-CN"/>
        </w:rPr>
        <w:t>、</w:t>
      </w:r>
      <w:r>
        <w:rPr>
          <w:rFonts w:hint="eastAsia" w:ascii="仿宋" w:hAnsi="仿宋" w:eastAsia="仿宋"/>
          <w:color w:val="auto"/>
          <w:kern w:val="2"/>
          <w:sz w:val="32"/>
          <w:szCs w:val="24"/>
          <w:highlight w:val="none"/>
          <w:lang w:val="en-US"/>
        </w:rPr>
        <w:t>其他工资福利支出、住房公积金</w:t>
      </w:r>
      <w:r>
        <w:rPr>
          <w:rFonts w:hint="eastAsia" w:ascii="仿宋_GB2312" w:hAnsi="仿宋_GB2312" w:eastAsia="仿宋_GB2312"/>
          <w:color w:val="auto"/>
          <w:kern w:val="2"/>
          <w:sz w:val="32"/>
          <w:szCs w:val="24"/>
          <w:highlight w:val="none"/>
          <w:lang w:val="zh-CN"/>
        </w:rPr>
        <w:t>。</w:t>
      </w:r>
    </w:p>
    <w:p>
      <w:pPr>
        <w:spacing w:line="576" w:lineRule="exact"/>
        <w:ind w:firstLine="643"/>
        <w:jc w:val="both"/>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b/>
          <w:color w:val="auto"/>
          <w:kern w:val="2"/>
          <w:sz w:val="32"/>
          <w:szCs w:val="24"/>
          <w:highlight w:val="none"/>
          <w:lang w:val="zh-CN"/>
        </w:rPr>
        <w:t>公用经费</w:t>
      </w:r>
      <w:r>
        <w:rPr>
          <w:rFonts w:hint="eastAsia" w:ascii="仿宋_GB2312" w:hAnsi="仿宋_GB2312" w:eastAsia="仿宋_GB2312"/>
          <w:color w:val="auto"/>
          <w:kern w:val="2"/>
          <w:sz w:val="32"/>
          <w:szCs w:val="24"/>
          <w:highlight w:val="none"/>
          <w:lang w:val="zh-CN"/>
        </w:rPr>
        <w:t>9.</w:t>
      </w:r>
      <w:r>
        <w:rPr>
          <w:rFonts w:hint="eastAsia" w:ascii="仿宋_GB2312" w:hAnsi="仿宋_GB2312" w:eastAsia="仿宋_GB2312"/>
          <w:color w:val="auto"/>
          <w:kern w:val="2"/>
          <w:sz w:val="32"/>
          <w:szCs w:val="24"/>
          <w:highlight w:val="none"/>
          <w:lang w:val="en-US" w:eastAsia="zh-CN"/>
        </w:rPr>
        <w:t>44</w:t>
      </w:r>
      <w:r>
        <w:rPr>
          <w:rFonts w:hint="eastAsia" w:ascii="仿宋_GB2312" w:hAnsi="仿宋_GB2312" w:eastAsia="仿宋_GB2312"/>
          <w:color w:val="auto"/>
          <w:kern w:val="2"/>
          <w:sz w:val="32"/>
          <w:szCs w:val="24"/>
          <w:highlight w:val="none"/>
          <w:lang w:val="zh-CN"/>
        </w:rPr>
        <w:t>万元，主要包括：</w:t>
      </w:r>
      <w:r>
        <w:rPr>
          <w:rFonts w:hint="eastAsia" w:ascii="仿宋" w:hAnsi="仿宋" w:eastAsia="仿宋"/>
          <w:color w:val="auto"/>
          <w:kern w:val="2"/>
          <w:sz w:val="32"/>
          <w:szCs w:val="24"/>
          <w:highlight w:val="none"/>
          <w:lang w:val="en-US"/>
        </w:rPr>
        <w:t>办公费、手续费、水费、电费、邮电费、差旅费、培训费、委托业务费、工会经费、其他交通费</w:t>
      </w:r>
      <w:r>
        <w:rPr>
          <w:rFonts w:hint="eastAsia" w:ascii="仿宋" w:hAnsi="仿宋" w:eastAsia="仿宋"/>
          <w:color w:val="auto"/>
          <w:kern w:val="2"/>
          <w:sz w:val="32"/>
          <w:szCs w:val="24"/>
          <w:highlight w:val="none"/>
          <w:lang w:val="en-US" w:eastAsia="zh-CN"/>
        </w:rPr>
        <w:t>用</w:t>
      </w:r>
      <w:r>
        <w:rPr>
          <w:rFonts w:hint="eastAsia" w:ascii="仿宋" w:hAnsi="仿宋" w:eastAsia="仿宋"/>
          <w:color w:val="auto"/>
          <w:kern w:val="2"/>
          <w:sz w:val="32"/>
          <w:szCs w:val="24"/>
          <w:highlight w:val="none"/>
          <w:lang w:val="en-US"/>
        </w:rPr>
        <w:t>、其他商品和服务支出</w:t>
      </w:r>
      <w:r>
        <w:rPr>
          <w:rFonts w:hint="eastAsia" w:ascii="仿宋_GB2312" w:hAnsi="仿宋_GB2312" w:eastAsia="仿宋_GB2312"/>
          <w:color w:val="auto"/>
          <w:kern w:val="2"/>
          <w:sz w:val="32"/>
          <w:szCs w:val="24"/>
          <w:highlight w:val="none"/>
          <w:lang w:val="zh-CN"/>
        </w:rPr>
        <w:t>。</w:t>
      </w:r>
    </w:p>
    <w:p>
      <w:pPr>
        <w:keepNext/>
        <w:keepLines/>
        <w:spacing w:line="576" w:lineRule="exact"/>
        <w:ind w:firstLine="640"/>
        <w:jc w:val="both"/>
        <w:outlineLvl w:val="1"/>
        <w:rPr>
          <w:rFonts w:hint="eastAsia" w:ascii="黑体" w:hAnsi="黑体" w:eastAsia="黑体"/>
          <w:color w:val="auto"/>
          <w:kern w:val="2"/>
          <w:sz w:val="32"/>
          <w:szCs w:val="24"/>
          <w:highlight w:val="none"/>
          <w:lang w:val="zh-CN"/>
        </w:rPr>
      </w:pPr>
      <w:bookmarkStart w:id="15" w:name="_Toc29445"/>
      <w:r>
        <w:rPr>
          <w:rFonts w:hint="eastAsia" w:ascii="黑体" w:hAnsi="黑体" w:eastAsia="黑体"/>
          <w:color w:val="auto"/>
          <w:kern w:val="2"/>
          <w:sz w:val="32"/>
          <w:szCs w:val="24"/>
          <w:highlight w:val="none"/>
          <w:lang w:val="zh-CN"/>
        </w:rPr>
        <w:t>七、</w:t>
      </w:r>
      <w:r>
        <w:rPr>
          <w:rFonts w:hint="eastAsia" w:ascii="黑体" w:hAnsi="黑体" w:eastAsia="黑体"/>
          <w:b/>
          <w:color w:val="auto"/>
          <w:kern w:val="2"/>
          <w:sz w:val="32"/>
          <w:szCs w:val="24"/>
          <w:highlight w:val="none"/>
          <w:lang w:val="zh-CN"/>
        </w:rPr>
        <w:t>“</w:t>
      </w:r>
      <w:r>
        <w:rPr>
          <w:rFonts w:hint="eastAsia" w:ascii="黑体" w:hAnsi="黑体" w:eastAsia="黑体"/>
          <w:color w:val="auto"/>
          <w:kern w:val="2"/>
          <w:sz w:val="32"/>
          <w:szCs w:val="24"/>
          <w:highlight w:val="none"/>
          <w:lang w:val="zh-CN"/>
        </w:rPr>
        <w:t>三公”经费财政拨款支出决算情况说明</w:t>
      </w:r>
      <w:bookmarkEnd w:id="15"/>
    </w:p>
    <w:p>
      <w:pPr>
        <w:keepNext/>
        <w:keepLines/>
        <w:spacing w:line="576" w:lineRule="exact"/>
        <w:ind w:firstLine="643"/>
        <w:jc w:val="both"/>
        <w:outlineLvl w:val="2"/>
        <w:rPr>
          <w:rFonts w:hint="eastAsia" w:ascii="仿宋_GB2312" w:hAnsi="仿宋_GB2312" w:eastAsia="仿宋_GB2312"/>
          <w:b/>
          <w:color w:val="auto"/>
          <w:kern w:val="2"/>
          <w:sz w:val="32"/>
          <w:szCs w:val="24"/>
          <w:highlight w:val="none"/>
          <w:lang w:val="zh-CN"/>
        </w:rPr>
      </w:pPr>
      <w:bookmarkStart w:id="16" w:name="_Toc25766"/>
      <w:r>
        <w:rPr>
          <w:rFonts w:hint="eastAsia" w:ascii="仿宋_GB2312" w:hAnsi="仿宋_GB2312" w:eastAsia="仿宋_GB2312"/>
          <w:b/>
          <w:color w:val="auto"/>
          <w:kern w:val="2"/>
          <w:sz w:val="32"/>
          <w:szCs w:val="24"/>
          <w:highlight w:val="none"/>
          <w:lang w:val="zh-CN"/>
        </w:rPr>
        <w:t>（一）“三公”经费财政拨款支出决算总体情况说明</w:t>
      </w:r>
      <w:bookmarkEnd w:id="16"/>
    </w:p>
    <w:p>
      <w:pPr>
        <w:spacing w:line="600" w:lineRule="exact"/>
        <w:ind w:firstLine="640"/>
        <w:rPr>
          <w:rFonts w:hint="eastAsia" w:ascii="仿宋" w:hAnsi="仿宋" w:eastAsia="仿宋"/>
          <w:color w:val="auto"/>
          <w:sz w:val="32"/>
          <w:szCs w:val="24"/>
          <w:highlight w:val="none"/>
        </w:rPr>
      </w:pPr>
      <w:r>
        <w:rPr>
          <w:rFonts w:hint="eastAsia" w:ascii="仿宋_GB2312" w:hAnsi="仿宋_GB2312" w:eastAsia="仿宋_GB2312"/>
          <w:color w:val="auto"/>
          <w:kern w:val="2"/>
          <w:sz w:val="32"/>
          <w:szCs w:val="24"/>
          <w:highlight w:val="none"/>
          <w:lang w:val="zh-CN"/>
        </w:rPr>
        <w:t>2022年“三公”经费财政拨款支出决算为0万元，</w:t>
      </w:r>
      <w:r>
        <w:rPr>
          <w:rFonts w:hint="eastAsia" w:ascii="仿宋_GB2312" w:hAnsi="仿宋_GB2312" w:eastAsia="仿宋_GB2312"/>
          <w:color w:val="auto"/>
          <w:kern w:val="2"/>
          <w:sz w:val="32"/>
          <w:szCs w:val="24"/>
          <w:highlight w:val="none"/>
          <w:lang w:val="en-US"/>
        </w:rPr>
        <w:t>与预算数持平</w:t>
      </w:r>
      <w:r>
        <w:rPr>
          <w:rFonts w:hint="eastAsia" w:ascii="仿宋_GB2312" w:hAnsi="仿宋_GB2312" w:eastAsia="仿宋_GB2312"/>
          <w:color w:val="auto"/>
          <w:kern w:val="2"/>
          <w:sz w:val="32"/>
          <w:szCs w:val="24"/>
          <w:highlight w:val="none"/>
          <w:lang w:val="zh-CN"/>
        </w:rPr>
        <w:t>，</w:t>
      </w:r>
      <w:r>
        <w:rPr>
          <w:rFonts w:hint="eastAsia" w:ascii="仿宋" w:hAnsi="仿宋" w:eastAsia="仿宋"/>
          <w:color w:val="auto"/>
          <w:sz w:val="32"/>
          <w:szCs w:val="24"/>
          <w:highlight w:val="none"/>
        </w:rPr>
        <w:t>具体情况如下：</w:t>
      </w:r>
    </w:p>
    <w:p>
      <w:pPr>
        <w:ind w:firstLine="640"/>
        <w:rPr>
          <w:rFonts w:hint="eastAsia" w:ascii="仿宋" w:hAnsi="仿宋" w:eastAsia="仿宋"/>
          <w:color w:val="auto"/>
          <w:sz w:val="32"/>
          <w:szCs w:val="24"/>
          <w:highlight w:val="none"/>
        </w:rPr>
      </w:pPr>
      <w:r>
        <w:rPr>
          <w:rFonts w:hint="eastAsia" w:ascii="仿宋_GB2312" w:hAnsi="Times New Roman" w:eastAsia="仿宋_GB2312"/>
          <w:b/>
          <w:color w:val="auto"/>
          <w:sz w:val="32"/>
          <w:szCs w:val="24"/>
          <w:highlight w:val="none"/>
        </w:rPr>
        <w:t>1.因公出国（境）经费支出0万元</w:t>
      </w:r>
      <w:r>
        <w:rPr>
          <w:rFonts w:hint="eastAsia" w:ascii="仿宋_GB2312" w:hAnsi="Times New Roman" w:eastAsia="仿宋_GB2312"/>
          <w:color w:val="auto"/>
          <w:sz w:val="32"/>
          <w:szCs w:val="24"/>
          <w:highlight w:val="none"/>
        </w:rPr>
        <w:t>，</w:t>
      </w:r>
      <w:r>
        <w:rPr>
          <w:rStyle w:val="9"/>
          <w:rFonts w:hint="eastAsia" w:ascii="仿宋" w:hAnsi="Times New Roman" w:eastAsia="仿宋"/>
          <w:b w:val="0"/>
          <w:color w:val="auto"/>
          <w:sz w:val="32"/>
          <w:szCs w:val="24"/>
          <w:highlight w:val="none"/>
        </w:rPr>
        <w:t>年初未安排预算</w:t>
      </w:r>
      <w:r>
        <w:rPr>
          <w:rFonts w:hint="eastAsia" w:ascii="仿宋_GB2312" w:hAnsi="Times New Roman" w:eastAsia="仿宋_GB2312"/>
          <w:color w:val="auto"/>
          <w:sz w:val="32"/>
          <w:szCs w:val="24"/>
          <w:highlight w:val="none"/>
        </w:rPr>
        <w:t>。因公出国（境）支出决算与202</w:t>
      </w:r>
      <w:r>
        <w:rPr>
          <w:rFonts w:hint="eastAsia" w:ascii="仿宋_GB2312" w:hAnsi="Times New Roman" w:eastAsia="仿宋_GB2312"/>
          <w:color w:val="auto"/>
          <w:sz w:val="32"/>
          <w:szCs w:val="24"/>
          <w:highlight w:val="none"/>
          <w:lang w:val="en-US" w:eastAsia="zh-CN"/>
        </w:rPr>
        <w:t>1</w:t>
      </w:r>
      <w:r>
        <w:rPr>
          <w:rFonts w:hint="eastAsia" w:ascii="仿宋_GB2312" w:hAnsi="Times New Roman" w:eastAsia="仿宋_GB2312"/>
          <w:color w:val="auto"/>
          <w:sz w:val="32"/>
          <w:szCs w:val="24"/>
          <w:highlight w:val="none"/>
        </w:rPr>
        <w:t>年持平。</w:t>
      </w:r>
    </w:p>
    <w:p>
      <w:pPr>
        <w:spacing w:line="600" w:lineRule="exact"/>
        <w:ind w:firstLine="640"/>
        <w:rPr>
          <w:rFonts w:ascii="仿宋_GB2312" w:eastAsia="仿宋_GB2312"/>
          <w:b/>
          <w:color w:val="auto"/>
          <w:sz w:val="32"/>
          <w:szCs w:val="32"/>
          <w:highlight w:val="none"/>
        </w:rPr>
      </w:pPr>
      <w:r>
        <w:rPr>
          <w:rFonts w:hint="eastAsia" w:ascii="仿宋_GB2312" w:hAnsi="Times New Roman" w:eastAsia="仿宋_GB2312"/>
          <w:b/>
          <w:color w:val="auto"/>
          <w:sz w:val="32"/>
          <w:szCs w:val="24"/>
          <w:highlight w:val="none"/>
        </w:rPr>
        <w:t>2.公务用车购置及运行维护费支出</w:t>
      </w:r>
      <w:r>
        <w:rPr>
          <w:rFonts w:hint="eastAsia" w:ascii="仿宋_GB2312" w:hAnsi="Times New Roman" w:eastAsia="仿宋_GB2312"/>
          <w:color w:val="auto"/>
          <w:sz w:val="32"/>
          <w:szCs w:val="24"/>
          <w:highlight w:val="none"/>
        </w:rPr>
        <w:t>0万元</w:t>
      </w:r>
      <w:r>
        <w:rPr>
          <w:rFonts w:hint="eastAsia" w:ascii="仿宋_GB2312" w:eastAsia="仿宋_GB2312"/>
          <w:color w:val="auto"/>
          <w:sz w:val="32"/>
          <w:szCs w:val="24"/>
          <w:highlight w:val="none"/>
          <w:lang w:eastAsia="zh-CN"/>
        </w:rPr>
        <w:t>，</w:t>
      </w:r>
      <w:r>
        <w:rPr>
          <w:rFonts w:hint="eastAsia" w:ascii="仿宋" w:hAnsi="Times New Roman" w:eastAsia="仿宋"/>
          <w:b/>
          <w:color w:val="auto"/>
          <w:sz w:val="32"/>
          <w:szCs w:val="24"/>
          <w:highlight w:val="none"/>
        </w:rPr>
        <w:t>年初未安排预算</w:t>
      </w:r>
      <w:r>
        <w:rPr>
          <w:rFonts w:hint="eastAsia" w:ascii="仿宋" w:hAnsi="仿宋" w:eastAsia="仿宋"/>
          <w:b/>
          <w:color w:val="auto"/>
          <w:sz w:val="32"/>
          <w:szCs w:val="24"/>
          <w:highlight w:val="none"/>
        </w:rPr>
        <w:t>。</w:t>
      </w:r>
      <w:r>
        <w:rPr>
          <w:rFonts w:hint="eastAsia" w:ascii="仿宋" w:hAnsi="仿宋" w:eastAsia="仿宋"/>
          <w:color w:val="auto"/>
          <w:sz w:val="32"/>
          <w:szCs w:val="24"/>
          <w:highlight w:val="none"/>
        </w:rPr>
        <w:t>公务用车购置及运行维护费支出决算比202</w:t>
      </w:r>
      <w:r>
        <w:rPr>
          <w:rFonts w:hint="eastAsia" w:ascii="仿宋" w:hAnsi="仿宋" w:eastAsia="仿宋"/>
          <w:color w:val="auto"/>
          <w:sz w:val="32"/>
          <w:szCs w:val="24"/>
          <w:highlight w:val="none"/>
          <w:lang w:val="en-US" w:eastAsia="zh-CN"/>
        </w:rPr>
        <w:t>1</w:t>
      </w:r>
      <w:r>
        <w:rPr>
          <w:rFonts w:hint="eastAsia" w:ascii="仿宋" w:hAnsi="仿宋" w:eastAsia="仿宋"/>
          <w:color w:val="auto"/>
          <w:sz w:val="32"/>
          <w:szCs w:val="24"/>
          <w:highlight w:val="none"/>
        </w:rPr>
        <w:t>年持平。</w:t>
      </w:r>
      <w:r>
        <w:rPr>
          <w:rFonts w:hint="eastAsia" w:ascii="仿宋" w:hAnsi="仿宋" w:eastAsia="仿宋"/>
          <w:color w:val="auto"/>
          <w:sz w:val="32"/>
          <w:szCs w:val="24"/>
          <w:highlight w:val="none"/>
          <w:lang w:eastAsia="zh-CN"/>
        </w:rPr>
        <w:t>截至2022年</w:t>
      </w:r>
      <w:r>
        <w:rPr>
          <w:rFonts w:ascii="仿宋" w:hAnsi="仿宋" w:eastAsia="仿宋"/>
          <w:color w:val="auto"/>
          <w:sz w:val="32"/>
          <w:szCs w:val="32"/>
          <w:highlight w:val="none"/>
        </w:rPr>
        <w:t>12月底，我单位共有公务用车0辆</w:t>
      </w:r>
      <w:r>
        <w:rPr>
          <w:rFonts w:hint="eastAsia" w:ascii="仿宋" w:hAnsi="仿宋" w:eastAsia="仿宋"/>
          <w:color w:val="auto"/>
          <w:sz w:val="32"/>
          <w:szCs w:val="32"/>
          <w:highlight w:val="none"/>
        </w:rPr>
        <w:t>。</w:t>
      </w:r>
    </w:p>
    <w:p>
      <w:pPr>
        <w:spacing w:line="600" w:lineRule="exact"/>
        <w:ind w:firstLine="640"/>
        <w:rPr>
          <w:rFonts w:hint="eastAsia" w:ascii="黑体" w:hAnsi="Times New Roman" w:eastAsia="黑体"/>
          <w:color w:val="auto"/>
          <w:sz w:val="32"/>
          <w:szCs w:val="24"/>
          <w:highlight w:val="none"/>
        </w:rPr>
      </w:pPr>
      <w:r>
        <w:rPr>
          <w:rFonts w:hint="eastAsia" w:ascii="仿宋_GB2312" w:hAnsi="Times New Roman" w:eastAsia="仿宋_GB2312"/>
          <w:b/>
          <w:color w:val="auto"/>
          <w:sz w:val="32"/>
          <w:szCs w:val="24"/>
          <w:highlight w:val="none"/>
        </w:rPr>
        <w:t>3.公务接待费支出</w:t>
      </w:r>
      <w:r>
        <w:rPr>
          <w:rFonts w:hint="eastAsia" w:ascii="仿宋" w:hAnsi="仿宋" w:eastAsia="仿宋"/>
          <w:color w:val="auto"/>
          <w:sz w:val="32"/>
          <w:szCs w:val="24"/>
          <w:highlight w:val="none"/>
        </w:rPr>
        <w:t>0</w:t>
      </w:r>
      <w:r>
        <w:rPr>
          <w:rFonts w:hint="eastAsia" w:ascii="仿宋_GB2312" w:hAnsi="Times New Roman" w:eastAsia="仿宋_GB2312"/>
          <w:color w:val="auto"/>
          <w:sz w:val="32"/>
          <w:szCs w:val="24"/>
          <w:highlight w:val="none"/>
        </w:rPr>
        <w:t>万元，</w:t>
      </w:r>
      <w:r>
        <w:rPr>
          <w:rStyle w:val="9"/>
          <w:rFonts w:hint="eastAsia" w:ascii="仿宋" w:hAnsi="仿宋" w:eastAsia="仿宋"/>
          <w:b w:val="0"/>
          <w:color w:val="auto"/>
          <w:sz w:val="32"/>
          <w:szCs w:val="24"/>
          <w:highlight w:val="none"/>
        </w:rPr>
        <w:t>完成预算0%。</w:t>
      </w:r>
      <w:r>
        <w:rPr>
          <w:rStyle w:val="9"/>
          <w:rFonts w:hint="eastAsia" w:ascii="仿宋" w:hAnsi="仿宋" w:eastAsia="仿宋"/>
          <w:b w:val="0"/>
          <w:color w:val="auto"/>
          <w:sz w:val="32"/>
          <w:szCs w:val="24"/>
          <w:highlight w:val="none"/>
          <w:lang w:val="en-US" w:eastAsia="zh-CN"/>
        </w:rPr>
        <w:t>年初未安排预算。</w:t>
      </w:r>
      <w:r>
        <w:rPr>
          <w:rFonts w:hint="eastAsia" w:ascii="仿宋" w:hAnsi="仿宋" w:eastAsia="仿宋"/>
          <w:color w:val="auto"/>
          <w:sz w:val="32"/>
          <w:szCs w:val="24"/>
          <w:highlight w:val="none"/>
        </w:rPr>
        <w:t>公务接待费</w:t>
      </w:r>
      <w:r>
        <w:rPr>
          <w:rFonts w:hint="eastAsia" w:ascii="仿宋" w:hAnsi="仿宋" w:eastAsia="仿宋"/>
          <w:color w:val="auto"/>
          <w:sz w:val="32"/>
          <w:szCs w:val="24"/>
          <w:highlight w:val="none"/>
          <w:lang w:val="en-US" w:eastAsia="zh-CN"/>
        </w:rPr>
        <w:t>与2021年持平</w:t>
      </w:r>
      <w:r>
        <w:rPr>
          <w:rFonts w:hint="eastAsia" w:ascii="仿宋" w:hAnsi="仿宋" w:eastAsia="仿宋"/>
          <w:color w:val="auto"/>
          <w:sz w:val="32"/>
          <w:szCs w:val="24"/>
          <w:highlight w:val="none"/>
        </w:rPr>
        <w:t>。</w:t>
      </w:r>
    </w:p>
    <w:p>
      <w:pPr>
        <w:keepNext/>
        <w:keepLines/>
        <w:spacing w:line="576" w:lineRule="exact"/>
        <w:ind w:firstLine="640" w:firstLineChars="200"/>
        <w:jc w:val="both"/>
        <w:outlineLvl w:val="1"/>
        <w:rPr>
          <w:rFonts w:hint="eastAsia" w:ascii="黑体" w:hAnsi="黑体" w:eastAsia="黑体"/>
          <w:b/>
          <w:color w:val="auto"/>
          <w:kern w:val="2"/>
          <w:sz w:val="32"/>
          <w:szCs w:val="24"/>
          <w:highlight w:val="none"/>
          <w:lang w:val="zh-CN"/>
        </w:rPr>
      </w:pPr>
      <w:bookmarkStart w:id="17" w:name="_Toc23339"/>
      <w:r>
        <w:rPr>
          <w:rFonts w:hint="eastAsia" w:ascii="黑体" w:hAnsi="黑体" w:eastAsia="黑体"/>
          <w:color w:val="auto"/>
          <w:kern w:val="2"/>
          <w:sz w:val="32"/>
          <w:szCs w:val="24"/>
          <w:highlight w:val="none"/>
          <w:lang w:val="zh-CN"/>
        </w:rPr>
        <w:t>八、政府性基金预算支出决算情况说明</w:t>
      </w:r>
      <w:bookmarkEnd w:id="17"/>
    </w:p>
    <w:p>
      <w:pPr>
        <w:spacing w:line="576" w:lineRule="exact"/>
        <w:ind w:firstLine="640"/>
        <w:jc w:val="both"/>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color w:val="auto"/>
          <w:kern w:val="2"/>
          <w:sz w:val="32"/>
          <w:szCs w:val="24"/>
          <w:highlight w:val="none"/>
          <w:lang w:val="zh-CN"/>
        </w:rPr>
        <w:t>2022年政府性基金预算拨款支出0万元。</w:t>
      </w:r>
    </w:p>
    <w:p>
      <w:pPr>
        <w:keepNext/>
        <w:keepLines/>
        <w:spacing w:line="576" w:lineRule="exact"/>
        <w:ind w:firstLine="640"/>
        <w:jc w:val="both"/>
        <w:outlineLvl w:val="1"/>
        <w:rPr>
          <w:rFonts w:hint="eastAsia" w:ascii="黑体" w:hAnsi="黑体" w:eastAsia="黑体"/>
          <w:color w:val="auto"/>
          <w:kern w:val="2"/>
          <w:sz w:val="32"/>
          <w:szCs w:val="24"/>
          <w:highlight w:val="none"/>
          <w:lang w:val="zh-CN"/>
        </w:rPr>
      </w:pPr>
      <w:bookmarkStart w:id="18" w:name="_Toc13010"/>
      <w:r>
        <w:rPr>
          <w:rFonts w:hint="eastAsia" w:ascii="黑体" w:hAnsi="黑体" w:eastAsia="黑体"/>
          <w:color w:val="auto"/>
          <w:kern w:val="2"/>
          <w:sz w:val="32"/>
          <w:szCs w:val="24"/>
          <w:highlight w:val="none"/>
          <w:lang w:val="zh-CN"/>
        </w:rPr>
        <w:t>九、国有资本经营预算支出决算情况说明</w:t>
      </w:r>
      <w:bookmarkEnd w:id="18"/>
    </w:p>
    <w:p>
      <w:pPr>
        <w:spacing w:line="576" w:lineRule="exact"/>
        <w:ind w:firstLine="640"/>
        <w:jc w:val="both"/>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color w:val="auto"/>
          <w:kern w:val="2"/>
          <w:sz w:val="32"/>
          <w:szCs w:val="24"/>
          <w:highlight w:val="none"/>
          <w:lang w:val="zh-CN"/>
        </w:rPr>
        <w:t>2022年国有资本经营预算拨款支出0万元。</w:t>
      </w:r>
    </w:p>
    <w:p>
      <w:pPr>
        <w:keepNext/>
        <w:keepLines/>
        <w:spacing w:line="576" w:lineRule="exact"/>
        <w:ind w:firstLine="640"/>
        <w:jc w:val="both"/>
        <w:outlineLvl w:val="1"/>
        <w:rPr>
          <w:rFonts w:hint="eastAsia" w:ascii="黑体" w:hAnsi="黑体" w:eastAsia="黑体"/>
          <w:b/>
          <w:color w:val="auto"/>
          <w:kern w:val="2"/>
          <w:sz w:val="32"/>
          <w:szCs w:val="24"/>
          <w:highlight w:val="none"/>
          <w:lang w:val="zh-CN"/>
        </w:rPr>
      </w:pPr>
      <w:bookmarkStart w:id="19" w:name="_Toc25067"/>
      <w:r>
        <w:rPr>
          <w:rFonts w:hint="eastAsia" w:ascii="黑体" w:hAnsi="黑体" w:eastAsia="黑体"/>
          <w:color w:val="auto"/>
          <w:kern w:val="2"/>
          <w:sz w:val="32"/>
          <w:szCs w:val="24"/>
          <w:highlight w:val="none"/>
          <w:lang w:val="zh-CN"/>
        </w:rPr>
        <w:t>十</w:t>
      </w:r>
      <w:r>
        <w:rPr>
          <w:rFonts w:hint="eastAsia" w:ascii="黑体" w:hAnsi="黑体" w:eastAsia="黑体"/>
          <w:b/>
          <w:color w:val="auto"/>
          <w:kern w:val="2"/>
          <w:sz w:val="32"/>
          <w:szCs w:val="24"/>
          <w:highlight w:val="none"/>
          <w:lang w:val="zh-CN"/>
        </w:rPr>
        <w:t>、</w:t>
      </w:r>
      <w:r>
        <w:rPr>
          <w:rFonts w:hint="eastAsia" w:ascii="黑体" w:hAnsi="黑体" w:eastAsia="黑体"/>
          <w:color w:val="auto"/>
          <w:kern w:val="2"/>
          <w:sz w:val="32"/>
          <w:szCs w:val="24"/>
          <w:highlight w:val="none"/>
          <w:lang w:val="zh-CN"/>
        </w:rPr>
        <w:t>其他重要事项的情况说明</w:t>
      </w:r>
      <w:bookmarkEnd w:id="19"/>
    </w:p>
    <w:p>
      <w:pPr>
        <w:keepNext/>
        <w:keepLines/>
        <w:spacing w:line="576" w:lineRule="exact"/>
        <w:ind w:firstLine="643"/>
        <w:jc w:val="both"/>
        <w:outlineLvl w:val="2"/>
        <w:rPr>
          <w:rFonts w:hint="eastAsia" w:ascii="仿宋_GB2312" w:hAnsi="仿宋_GB2312" w:eastAsia="仿宋_GB2312"/>
          <w:color w:val="auto"/>
          <w:kern w:val="2"/>
          <w:sz w:val="32"/>
          <w:szCs w:val="24"/>
          <w:highlight w:val="none"/>
          <w:lang w:val="zh-CN"/>
        </w:rPr>
      </w:pPr>
      <w:bookmarkStart w:id="20" w:name="_Toc15207"/>
      <w:r>
        <w:rPr>
          <w:rFonts w:hint="eastAsia" w:ascii="仿宋_GB2312" w:hAnsi="仿宋_GB2312" w:eastAsia="仿宋_GB2312"/>
          <w:b/>
          <w:color w:val="auto"/>
          <w:kern w:val="2"/>
          <w:sz w:val="32"/>
          <w:szCs w:val="24"/>
          <w:highlight w:val="none"/>
          <w:lang w:val="zh-CN"/>
        </w:rPr>
        <w:t>（一）机关运行经费支出情况</w:t>
      </w:r>
      <w:bookmarkEnd w:id="20"/>
    </w:p>
    <w:p>
      <w:pPr>
        <w:spacing w:line="600" w:lineRule="exact"/>
        <w:ind w:firstLine="640" w:firstLineChars="200"/>
        <w:rPr>
          <w:rFonts w:hint="eastAsia" w:ascii="仿宋" w:hAnsi="仿宋" w:eastAsia="仿宋"/>
          <w:b/>
          <w:color w:val="auto"/>
          <w:sz w:val="32"/>
          <w:szCs w:val="24"/>
          <w:highlight w:val="none"/>
        </w:rPr>
      </w:pPr>
      <w:r>
        <w:rPr>
          <w:rFonts w:hint="eastAsia" w:ascii="仿宋_GB2312" w:hAnsi="Times New Roman" w:eastAsia="仿宋_GB2312"/>
          <w:color w:val="auto"/>
          <w:sz w:val="32"/>
          <w:szCs w:val="24"/>
          <w:highlight w:val="none"/>
        </w:rPr>
        <w:t>202</w:t>
      </w:r>
      <w:r>
        <w:rPr>
          <w:rFonts w:hint="eastAsia" w:ascii="仿宋_GB2312" w:hAnsi="Times New Roman" w:eastAsia="仿宋_GB2312"/>
          <w:color w:val="auto"/>
          <w:sz w:val="32"/>
          <w:szCs w:val="24"/>
          <w:highlight w:val="none"/>
          <w:lang w:val="en-US" w:eastAsia="zh-CN"/>
        </w:rPr>
        <w:t>2</w:t>
      </w:r>
      <w:r>
        <w:rPr>
          <w:rFonts w:hint="eastAsia" w:ascii="仿宋_GB2312" w:hAnsi="Times New Roman" w:eastAsia="仿宋_GB2312"/>
          <w:color w:val="auto"/>
          <w:sz w:val="32"/>
          <w:szCs w:val="24"/>
          <w:highlight w:val="none"/>
        </w:rPr>
        <w:t>年未发生机关运行经费支出，与202</w:t>
      </w:r>
      <w:r>
        <w:rPr>
          <w:rFonts w:hint="eastAsia" w:ascii="仿宋_GB2312" w:hAnsi="Times New Roman" w:eastAsia="仿宋_GB2312"/>
          <w:color w:val="auto"/>
          <w:sz w:val="32"/>
          <w:szCs w:val="24"/>
          <w:highlight w:val="none"/>
          <w:lang w:val="en-US" w:eastAsia="zh-CN"/>
        </w:rPr>
        <w:t>1</w:t>
      </w:r>
      <w:r>
        <w:rPr>
          <w:rFonts w:hint="eastAsia" w:ascii="仿宋_GB2312" w:hAnsi="Times New Roman" w:eastAsia="仿宋_GB2312"/>
          <w:color w:val="auto"/>
          <w:sz w:val="32"/>
          <w:szCs w:val="24"/>
          <w:highlight w:val="none"/>
        </w:rPr>
        <w:t>年决算数持平</w:t>
      </w:r>
      <w:r>
        <w:rPr>
          <w:rFonts w:hint="eastAsia" w:ascii="仿宋" w:hAnsi="仿宋" w:eastAsia="仿宋"/>
          <w:color w:val="auto"/>
          <w:sz w:val="32"/>
          <w:szCs w:val="24"/>
          <w:highlight w:val="none"/>
        </w:rPr>
        <w:t>。</w:t>
      </w:r>
    </w:p>
    <w:p>
      <w:pPr>
        <w:keepNext/>
        <w:keepLines/>
        <w:spacing w:line="576" w:lineRule="exact"/>
        <w:ind w:firstLine="643"/>
        <w:jc w:val="both"/>
        <w:outlineLvl w:val="2"/>
        <w:rPr>
          <w:rFonts w:hint="eastAsia" w:ascii="仿宋_GB2312" w:hAnsi="仿宋_GB2312" w:eastAsia="仿宋_GB2312"/>
          <w:b/>
          <w:color w:val="auto"/>
          <w:kern w:val="2"/>
          <w:sz w:val="32"/>
          <w:szCs w:val="24"/>
          <w:highlight w:val="none"/>
          <w:lang w:val="zh-CN"/>
        </w:rPr>
      </w:pPr>
      <w:bookmarkStart w:id="21" w:name="_Toc8140"/>
      <w:r>
        <w:rPr>
          <w:rFonts w:hint="eastAsia" w:ascii="仿宋_GB2312" w:hAnsi="仿宋_GB2312" w:eastAsia="仿宋_GB2312"/>
          <w:b/>
          <w:color w:val="auto"/>
          <w:kern w:val="2"/>
          <w:sz w:val="32"/>
          <w:szCs w:val="24"/>
          <w:highlight w:val="none"/>
          <w:lang w:val="zh-CN"/>
        </w:rPr>
        <w:t>（二）政府采购支出情况</w:t>
      </w:r>
      <w:bookmarkEnd w:id="21"/>
    </w:p>
    <w:p>
      <w:pPr>
        <w:spacing w:line="576" w:lineRule="exact"/>
        <w:ind w:firstLine="640"/>
        <w:jc w:val="both"/>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color w:val="auto"/>
          <w:kern w:val="2"/>
          <w:sz w:val="32"/>
          <w:szCs w:val="24"/>
          <w:highlight w:val="none"/>
          <w:lang w:val="zh-CN"/>
        </w:rPr>
        <w:t>2022年，广元市非物质文化遗产保护中心政府采购支出总额0万元。</w:t>
      </w:r>
    </w:p>
    <w:p>
      <w:pPr>
        <w:keepNext/>
        <w:keepLines/>
        <w:spacing w:line="576" w:lineRule="exact"/>
        <w:ind w:firstLine="643"/>
        <w:jc w:val="both"/>
        <w:outlineLvl w:val="2"/>
        <w:rPr>
          <w:rFonts w:hint="eastAsia" w:ascii="仿宋_GB2312" w:hAnsi="仿宋_GB2312" w:eastAsia="仿宋_GB2312"/>
          <w:b/>
          <w:color w:val="auto"/>
          <w:kern w:val="2"/>
          <w:sz w:val="32"/>
          <w:szCs w:val="24"/>
          <w:highlight w:val="none"/>
          <w:lang w:val="zh-CN"/>
        </w:rPr>
      </w:pPr>
      <w:bookmarkStart w:id="22" w:name="_Toc28802"/>
      <w:r>
        <w:rPr>
          <w:rFonts w:hint="eastAsia" w:ascii="仿宋_GB2312" w:hAnsi="仿宋_GB2312" w:eastAsia="仿宋_GB2312"/>
          <w:b/>
          <w:color w:val="auto"/>
          <w:kern w:val="2"/>
          <w:sz w:val="32"/>
          <w:szCs w:val="24"/>
          <w:highlight w:val="none"/>
          <w:lang w:val="zh-CN"/>
        </w:rPr>
        <w:t>（三）国有资产占有使用情况</w:t>
      </w:r>
      <w:bookmarkEnd w:id="22"/>
    </w:p>
    <w:p>
      <w:pPr>
        <w:keepNext w:val="0"/>
        <w:keepLines w:val="0"/>
        <w:widowControl/>
        <w:suppressLineNumbers w:val="0"/>
        <w:spacing w:before="0" w:beforeAutospacing="0" w:after="0" w:afterAutospacing="0" w:line="600" w:lineRule="atLeast"/>
        <w:ind w:left="0" w:right="0" w:firstLine="640"/>
        <w:jc w:val="left"/>
        <w:rPr>
          <w:rFonts w:hint="eastAsia" w:ascii="仿宋_GB2312" w:hAnsi="仿宋_GB2312" w:eastAsia="仿宋_GB2312"/>
          <w:color w:val="auto"/>
          <w:kern w:val="2"/>
          <w:sz w:val="32"/>
          <w:szCs w:val="24"/>
          <w:highlight w:val="none"/>
          <w:lang w:val="zh-CN"/>
        </w:rPr>
      </w:pPr>
      <w:r>
        <w:rPr>
          <w:rFonts w:hint="eastAsia" w:ascii="仿宋_GB2312" w:hAnsi="仿宋_GB2312" w:eastAsia="仿宋_GB2312"/>
          <w:color w:val="auto"/>
          <w:kern w:val="2"/>
          <w:sz w:val="32"/>
          <w:szCs w:val="24"/>
          <w:highlight w:val="none"/>
          <w:lang w:val="zh-CN"/>
        </w:rPr>
        <w:t>截至2022年12月31日，广元市非物质文化遗产保护中心共有车辆0辆。</w:t>
      </w:r>
      <w:r>
        <w:rPr>
          <w:rFonts w:hint="default" w:ascii="仿宋" w:hAnsi="仿宋" w:eastAsia="仿宋" w:cs="仿宋"/>
          <w:i w:val="0"/>
          <w:iCs w:val="0"/>
          <w:caps w:val="0"/>
          <w:color w:val="000000"/>
          <w:spacing w:val="0"/>
          <w:kern w:val="0"/>
          <w:sz w:val="32"/>
          <w:szCs w:val="32"/>
          <w:lang w:val="en-US" w:eastAsia="zh-CN" w:bidi="ar"/>
        </w:rPr>
        <w:t>单价100万元以上专用设备0台（套）。</w:t>
      </w:r>
    </w:p>
    <w:p>
      <w:pPr>
        <w:keepNext/>
        <w:keepLines/>
        <w:spacing w:line="576" w:lineRule="exact"/>
        <w:ind w:firstLine="643"/>
        <w:jc w:val="both"/>
        <w:outlineLvl w:val="2"/>
        <w:rPr>
          <w:rFonts w:hint="eastAsia" w:ascii="仿宋_GB2312" w:hAnsi="仿宋_GB2312" w:eastAsia="仿宋_GB2312"/>
          <w:b/>
          <w:color w:val="auto"/>
          <w:kern w:val="2"/>
          <w:sz w:val="32"/>
          <w:szCs w:val="24"/>
          <w:highlight w:val="none"/>
          <w:lang w:val="zh-CN"/>
        </w:rPr>
      </w:pPr>
      <w:bookmarkStart w:id="23" w:name="_Toc21347"/>
      <w:r>
        <w:rPr>
          <w:rFonts w:hint="eastAsia" w:ascii="仿宋_GB2312" w:hAnsi="仿宋_GB2312" w:eastAsia="仿宋_GB2312"/>
          <w:b/>
          <w:color w:val="auto"/>
          <w:kern w:val="2"/>
          <w:sz w:val="32"/>
          <w:szCs w:val="24"/>
          <w:highlight w:val="none"/>
          <w:lang w:val="zh-CN"/>
        </w:rPr>
        <w:t>（四）预算绩效管理情况。</w:t>
      </w:r>
      <w:bookmarkEnd w:id="23"/>
    </w:p>
    <w:p>
      <w:pPr>
        <w:spacing w:line="576" w:lineRule="exact"/>
        <w:ind w:firstLine="643"/>
        <w:jc w:val="both"/>
        <w:rPr>
          <w:rFonts w:hint="eastAsia" w:ascii="仿宋_GB2312" w:hAnsi="仿宋_GB2312" w:eastAsia="仿宋_GB2312"/>
          <w:color w:val="auto"/>
          <w:kern w:val="2"/>
          <w:sz w:val="32"/>
          <w:szCs w:val="24"/>
          <w:highlight w:val="none"/>
          <w:lang w:val="en-US"/>
        </w:rPr>
      </w:pPr>
      <w:r>
        <w:rPr>
          <w:rFonts w:hint="eastAsia" w:ascii="仿宋_GB2312" w:hAnsi="仿宋_GB2312" w:eastAsia="仿宋_GB2312"/>
          <w:color w:val="auto"/>
          <w:kern w:val="2"/>
          <w:sz w:val="32"/>
          <w:szCs w:val="24"/>
          <w:highlight w:val="none"/>
          <w:lang w:val="en-US"/>
        </w:rPr>
        <w:t>根据预算绩效管理要求，本单位在202</w:t>
      </w:r>
      <w:r>
        <w:rPr>
          <w:rFonts w:hint="eastAsia" w:ascii="宋体" w:hAnsi="宋体" w:eastAsia="宋体"/>
          <w:color w:val="auto"/>
          <w:kern w:val="2"/>
          <w:sz w:val="32"/>
          <w:szCs w:val="24"/>
          <w:highlight w:val="none"/>
          <w:lang w:val="en-US"/>
        </w:rPr>
        <w:t>2</w:t>
      </w:r>
      <w:r>
        <w:rPr>
          <w:rFonts w:hint="eastAsia" w:ascii="仿宋_GB2312" w:hAnsi="仿宋_GB2312" w:eastAsia="仿宋_GB2312"/>
          <w:color w:val="auto"/>
          <w:kern w:val="2"/>
          <w:sz w:val="32"/>
          <w:szCs w:val="24"/>
          <w:highlight w:val="none"/>
          <w:lang w:val="en-US"/>
        </w:rPr>
        <w:t>年度预算编制阶段，组织对</w:t>
      </w:r>
      <w:r>
        <w:rPr>
          <w:rFonts w:hint="eastAsia" w:ascii="仿宋_GB2312" w:hAnsi="仿宋_GB2312" w:eastAsia="仿宋_GB2312"/>
          <w:color w:val="auto"/>
          <w:kern w:val="2"/>
          <w:sz w:val="32"/>
          <w:szCs w:val="24"/>
          <w:highlight w:val="none"/>
          <w:lang w:val="en-US" w:eastAsia="zh-CN"/>
        </w:rPr>
        <w:t>非遗</w:t>
      </w:r>
      <w:r>
        <w:rPr>
          <w:rFonts w:hint="eastAsia" w:ascii="仿宋_GB2312" w:hAnsi="仿宋_GB2312" w:eastAsia="仿宋_GB2312"/>
          <w:color w:val="auto"/>
          <w:kern w:val="2"/>
          <w:sz w:val="32"/>
          <w:szCs w:val="24"/>
          <w:highlight w:val="none"/>
          <w:lang w:val="en-US"/>
        </w:rPr>
        <w:t>项目</w:t>
      </w:r>
      <w:r>
        <w:rPr>
          <w:rFonts w:hint="eastAsia" w:ascii="仿宋_GB2312" w:hAnsi="仿宋_GB2312" w:eastAsia="仿宋_GB2312"/>
          <w:color w:val="auto"/>
          <w:kern w:val="2"/>
          <w:sz w:val="32"/>
          <w:szCs w:val="24"/>
          <w:highlight w:val="none"/>
          <w:lang w:val="en-US" w:eastAsia="zh-CN"/>
        </w:rPr>
        <w:t>传承及数据库建设经费、中央省公共文化体系建设资金、国家非物质文化保护</w:t>
      </w:r>
      <w:r>
        <w:rPr>
          <w:rFonts w:hint="eastAsia" w:ascii="仿宋_GB2312" w:hAnsi="仿宋_GB2312" w:eastAsia="仿宋_GB2312"/>
          <w:color w:val="auto"/>
          <w:kern w:val="2"/>
          <w:sz w:val="32"/>
          <w:szCs w:val="24"/>
          <w:highlight w:val="none"/>
          <w:lang w:val="en-US"/>
        </w:rPr>
        <w:t>等</w:t>
      </w:r>
      <w:r>
        <w:rPr>
          <w:rFonts w:hint="eastAsia" w:ascii="仿宋_GB2312" w:hAnsi="仿宋_GB2312" w:eastAsia="仿宋_GB2312"/>
          <w:color w:val="auto"/>
          <w:kern w:val="2"/>
          <w:sz w:val="32"/>
          <w:szCs w:val="24"/>
          <w:highlight w:val="none"/>
          <w:lang w:val="en-US" w:eastAsia="zh-CN"/>
        </w:rPr>
        <w:t>3</w:t>
      </w:r>
      <w:r>
        <w:rPr>
          <w:rFonts w:hint="eastAsia" w:ascii="仿宋_GB2312" w:hAnsi="仿宋_GB2312" w:eastAsia="仿宋_GB2312"/>
          <w:color w:val="auto"/>
          <w:kern w:val="2"/>
          <w:sz w:val="32"/>
          <w:szCs w:val="24"/>
          <w:highlight w:val="none"/>
          <w:lang w:val="en-US"/>
        </w:rPr>
        <w:t>个项目开展了预算事前绩效评估，对</w:t>
      </w:r>
      <w:r>
        <w:rPr>
          <w:rFonts w:hint="eastAsia" w:ascii="仿宋_GB2312" w:hAnsi="仿宋_GB2312" w:eastAsia="仿宋_GB2312"/>
          <w:color w:val="auto"/>
          <w:kern w:val="2"/>
          <w:sz w:val="32"/>
          <w:szCs w:val="24"/>
          <w:highlight w:val="none"/>
          <w:lang w:val="en-US" w:eastAsia="zh-CN"/>
        </w:rPr>
        <w:t>6</w:t>
      </w:r>
      <w:r>
        <w:rPr>
          <w:rFonts w:hint="eastAsia" w:ascii="仿宋_GB2312" w:hAnsi="仿宋_GB2312" w:eastAsia="仿宋_GB2312"/>
          <w:color w:val="auto"/>
          <w:kern w:val="2"/>
          <w:sz w:val="32"/>
          <w:szCs w:val="24"/>
          <w:highlight w:val="none"/>
          <w:lang w:val="en-US"/>
        </w:rPr>
        <w:t>个项目编制了绩效目标，预算执行过程中，选取</w:t>
      </w:r>
      <w:r>
        <w:rPr>
          <w:rFonts w:hint="eastAsia" w:ascii="仿宋_GB2312" w:hAnsi="仿宋_GB2312" w:eastAsia="仿宋_GB2312"/>
          <w:color w:val="auto"/>
          <w:kern w:val="2"/>
          <w:sz w:val="32"/>
          <w:szCs w:val="24"/>
          <w:highlight w:val="none"/>
          <w:lang w:val="en-US" w:eastAsia="zh-CN"/>
        </w:rPr>
        <w:t>6</w:t>
      </w:r>
      <w:r>
        <w:rPr>
          <w:rFonts w:hint="eastAsia" w:ascii="仿宋_GB2312" w:hAnsi="仿宋_GB2312" w:eastAsia="仿宋_GB2312"/>
          <w:color w:val="auto"/>
          <w:kern w:val="2"/>
          <w:sz w:val="32"/>
          <w:szCs w:val="24"/>
          <w:highlight w:val="none"/>
          <w:lang w:val="en-US"/>
        </w:rPr>
        <w:t>个项目开展绩效监控，组织对</w:t>
      </w:r>
      <w:r>
        <w:rPr>
          <w:rFonts w:hint="eastAsia" w:ascii="仿宋_GB2312" w:hAnsi="仿宋_GB2312" w:eastAsia="仿宋_GB2312"/>
          <w:color w:val="auto"/>
          <w:kern w:val="2"/>
          <w:sz w:val="32"/>
          <w:szCs w:val="24"/>
          <w:highlight w:val="none"/>
          <w:lang w:val="en-US" w:eastAsia="zh-CN"/>
        </w:rPr>
        <w:t>6</w:t>
      </w:r>
      <w:r>
        <w:rPr>
          <w:rFonts w:hint="eastAsia" w:ascii="仿宋_GB2312" w:hAnsi="仿宋_GB2312" w:eastAsia="仿宋_GB2312"/>
          <w:color w:val="auto"/>
          <w:kern w:val="2"/>
          <w:sz w:val="32"/>
          <w:szCs w:val="24"/>
          <w:highlight w:val="none"/>
          <w:lang w:val="en-US"/>
        </w:rPr>
        <w:t>个项目开展绩效自评，绩效自评表详见第四部分附件。</w:t>
      </w:r>
    </w:p>
    <w:p>
      <w:pPr>
        <w:keepNext/>
        <w:keepLines/>
        <w:spacing w:line="576" w:lineRule="exact"/>
        <w:jc w:val="both"/>
        <w:rPr>
          <w:rFonts w:hint="eastAsia" w:ascii="黑体" w:hAnsi="黑体" w:eastAsia="黑体"/>
          <w:color w:val="auto"/>
          <w:kern w:val="2"/>
          <w:sz w:val="44"/>
          <w:szCs w:val="24"/>
          <w:highlight w:val="none"/>
          <w:lang w:val="zh-CN"/>
        </w:rPr>
      </w:pPr>
    </w:p>
    <w:p>
      <w:pPr>
        <w:keepNext/>
        <w:keepLines/>
        <w:spacing w:line="576" w:lineRule="exact"/>
        <w:jc w:val="both"/>
        <w:rPr>
          <w:rFonts w:hint="eastAsia" w:ascii="黑体" w:hAnsi="黑体" w:eastAsia="黑体"/>
          <w:color w:val="auto"/>
          <w:kern w:val="2"/>
          <w:sz w:val="44"/>
          <w:szCs w:val="24"/>
          <w:highlight w:val="none"/>
          <w:lang w:val="zh-CN"/>
        </w:rPr>
      </w:pPr>
    </w:p>
    <w:p>
      <w:pPr>
        <w:pStyle w:val="2"/>
        <w:rPr>
          <w:rFonts w:hint="eastAsia"/>
          <w:color w:val="auto"/>
          <w:highlight w:val="none"/>
          <w:lang w:val="zh-CN"/>
        </w:rPr>
      </w:pPr>
    </w:p>
    <w:p>
      <w:pPr>
        <w:keepNext/>
        <w:keepLines/>
        <w:spacing w:line="576" w:lineRule="exact"/>
        <w:jc w:val="both"/>
        <w:outlineLvl w:val="0"/>
        <w:rPr>
          <w:rFonts w:hint="eastAsia" w:ascii="黑体" w:hAnsi="黑体" w:eastAsia="黑体"/>
          <w:color w:val="auto"/>
          <w:kern w:val="2"/>
          <w:sz w:val="44"/>
          <w:szCs w:val="24"/>
          <w:highlight w:val="none"/>
          <w:lang w:val="zh-CN"/>
        </w:rPr>
      </w:pPr>
      <w:bookmarkStart w:id="24" w:name="_Toc32677"/>
    </w:p>
    <w:p>
      <w:pPr>
        <w:keepNext/>
        <w:keepLines/>
        <w:spacing w:line="576" w:lineRule="exact"/>
        <w:ind w:firstLine="2640" w:firstLineChars="600"/>
        <w:jc w:val="both"/>
        <w:outlineLvl w:val="0"/>
        <w:rPr>
          <w:rFonts w:hint="eastAsia" w:ascii="黑体" w:hAnsi="黑体" w:eastAsia="黑体"/>
          <w:color w:val="auto"/>
          <w:kern w:val="2"/>
          <w:sz w:val="44"/>
          <w:szCs w:val="24"/>
          <w:highlight w:val="none"/>
          <w:lang w:val="zh-CN"/>
        </w:rPr>
      </w:pPr>
    </w:p>
    <w:p>
      <w:pPr>
        <w:keepNext/>
        <w:keepLines/>
        <w:spacing w:line="576" w:lineRule="exact"/>
        <w:ind w:firstLine="2640" w:firstLineChars="600"/>
        <w:jc w:val="both"/>
        <w:outlineLvl w:val="0"/>
        <w:rPr>
          <w:rFonts w:hint="eastAsia" w:ascii="黑体" w:hAnsi="黑体" w:eastAsia="黑体"/>
          <w:color w:val="auto"/>
          <w:kern w:val="2"/>
          <w:sz w:val="44"/>
          <w:szCs w:val="24"/>
          <w:highlight w:val="none"/>
          <w:lang w:val="zh-CN"/>
        </w:rPr>
      </w:pPr>
    </w:p>
    <w:p>
      <w:pPr>
        <w:keepNext/>
        <w:keepLines/>
        <w:spacing w:line="576" w:lineRule="exact"/>
        <w:ind w:firstLine="2640" w:firstLineChars="600"/>
        <w:jc w:val="both"/>
        <w:outlineLvl w:val="0"/>
        <w:rPr>
          <w:rFonts w:hint="eastAsia" w:ascii="黑体" w:hAnsi="黑体" w:eastAsia="黑体"/>
          <w:color w:val="auto"/>
          <w:kern w:val="2"/>
          <w:sz w:val="44"/>
          <w:szCs w:val="24"/>
          <w:highlight w:val="none"/>
          <w:lang w:val="zh-CN"/>
        </w:rPr>
      </w:pPr>
    </w:p>
    <w:p>
      <w:pPr>
        <w:keepNext/>
        <w:keepLines/>
        <w:spacing w:line="576" w:lineRule="exact"/>
        <w:ind w:firstLine="2640" w:firstLineChars="600"/>
        <w:jc w:val="both"/>
        <w:outlineLvl w:val="0"/>
        <w:rPr>
          <w:rFonts w:hint="eastAsia" w:ascii="黑体" w:hAnsi="黑体" w:eastAsia="黑体"/>
          <w:color w:val="auto"/>
          <w:kern w:val="2"/>
          <w:sz w:val="44"/>
          <w:szCs w:val="24"/>
          <w:highlight w:val="none"/>
          <w:lang w:val="zh-CN"/>
        </w:rPr>
      </w:pPr>
    </w:p>
    <w:p>
      <w:pPr>
        <w:keepNext/>
        <w:keepLines/>
        <w:spacing w:line="576" w:lineRule="exact"/>
        <w:ind w:firstLine="2640" w:firstLineChars="600"/>
        <w:jc w:val="both"/>
        <w:outlineLvl w:val="0"/>
        <w:rPr>
          <w:rFonts w:hint="eastAsia" w:ascii="黑体" w:hAnsi="黑体" w:eastAsia="黑体"/>
          <w:color w:val="auto"/>
          <w:kern w:val="2"/>
          <w:sz w:val="44"/>
          <w:szCs w:val="24"/>
          <w:highlight w:val="none"/>
          <w:lang w:val="zh-CN"/>
        </w:rPr>
      </w:pPr>
    </w:p>
    <w:p>
      <w:pPr>
        <w:keepNext/>
        <w:keepLines/>
        <w:spacing w:line="576" w:lineRule="exact"/>
        <w:ind w:firstLine="2640" w:firstLineChars="600"/>
        <w:jc w:val="both"/>
        <w:outlineLvl w:val="0"/>
        <w:rPr>
          <w:rFonts w:hint="eastAsia" w:ascii="黑体" w:hAnsi="黑体" w:eastAsia="黑体"/>
          <w:color w:val="auto"/>
          <w:kern w:val="2"/>
          <w:sz w:val="44"/>
          <w:szCs w:val="24"/>
          <w:highlight w:val="none"/>
          <w:lang w:val="zh-CN"/>
        </w:rPr>
      </w:pPr>
    </w:p>
    <w:p>
      <w:pPr>
        <w:keepNext/>
        <w:keepLines/>
        <w:spacing w:line="576" w:lineRule="exact"/>
        <w:ind w:firstLine="300" w:firstLineChars="300"/>
        <w:jc w:val="both"/>
        <w:outlineLvl w:val="0"/>
        <w:rPr>
          <w:rFonts w:hint="eastAsia" w:ascii="黑体" w:hAnsi="黑体" w:eastAsia="黑体"/>
          <w:color w:val="auto"/>
          <w:kern w:val="2"/>
          <w:sz w:val="10"/>
          <w:szCs w:val="10"/>
          <w:highlight w:val="none"/>
          <w:lang w:val="zh-CN"/>
        </w:rPr>
      </w:pPr>
    </w:p>
    <w:p>
      <w:pPr>
        <w:pStyle w:val="2"/>
        <w:rPr>
          <w:rFonts w:hint="eastAsia" w:eastAsia="黑体"/>
          <w:color w:val="auto"/>
          <w:highlight w:val="none"/>
          <w:lang w:val="en-US" w:eastAsia="zh-CN"/>
        </w:rPr>
      </w:pPr>
      <w:r>
        <w:rPr>
          <w:rFonts w:hint="eastAsia" w:ascii="黑体" w:hAnsi="黑体" w:eastAsia="黑体"/>
          <w:color w:val="auto"/>
          <w:kern w:val="2"/>
          <w:sz w:val="10"/>
          <w:szCs w:val="10"/>
          <w:highlight w:val="none"/>
          <w:lang w:val="en-US" w:eastAsia="zh-CN"/>
        </w:rPr>
        <w:t xml:space="preserve"> </w:t>
      </w:r>
    </w:p>
    <w:p>
      <w:pPr>
        <w:keepNext/>
        <w:keepLines/>
        <w:spacing w:line="576" w:lineRule="exact"/>
        <w:ind w:firstLine="2200" w:firstLineChars="500"/>
        <w:jc w:val="both"/>
        <w:outlineLvl w:val="0"/>
        <w:rPr>
          <w:rFonts w:hint="eastAsia" w:ascii="黑体" w:hAnsi="黑体" w:eastAsia="黑体"/>
          <w:color w:val="auto"/>
          <w:kern w:val="44"/>
          <w:sz w:val="44"/>
          <w:szCs w:val="24"/>
          <w:highlight w:val="none"/>
          <w:lang w:val="zh-CN"/>
        </w:rPr>
      </w:pPr>
      <w:r>
        <w:rPr>
          <w:rFonts w:hint="eastAsia" w:ascii="黑体" w:hAnsi="黑体" w:eastAsia="黑体"/>
          <w:color w:val="auto"/>
          <w:kern w:val="2"/>
          <w:sz w:val="44"/>
          <w:szCs w:val="24"/>
          <w:highlight w:val="none"/>
          <w:lang w:val="zh-CN"/>
        </w:rPr>
        <w:t>第三部分 名</w:t>
      </w:r>
      <w:r>
        <w:rPr>
          <w:rFonts w:hint="eastAsia" w:ascii="黑体" w:hAnsi="黑体" w:eastAsia="黑体"/>
          <w:color w:val="auto"/>
          <w:kern w:val="44"/>
          <w:sz w:val="44"/>
          <w:szCs w:val="24"/>
          <w:highlight w:val="none"/>
          <w:lang w:val="zh-CN"/>
        </w:rPr>
        <w:t>词解释</w:t>
      </w:r>
      <w:bookmarkEnd w:id="24"/>
    </w:p>
    <w:p>
      <w:pPr>
        <w:pStyle w:val="2"/>
        <w:rPr>
          <w:rFonts w:hint="eastAsia"/>
          <w:color w:val="auto"/>
          <w:sz w:val="30"/>
          <w:szCs w:val="24"/>
          <w:highlight w:val="none"/>
          <w:lang w:val="zh-CN"/>
        </w:rPr>
      </w:pPr>
    </w:p>
    <w:p>
      <w:pPr>
        <w:pStyle w:val="10"/>
        <w:spacing w:before="93" w:beforeLines="0" w:afterLines="0" w:line="560" w:lineRule="exact"/>
        <w:ind w:firstLine="640" w:firstLineChars="200"/>
        <w:outlineLvl w:val="1"/>
        <w:rPr>
          <w:rFonts w:hint="eastAsia" w:ascii="仿宋_GB2312" w:eastAsia="仿宋_GB2312"/>
          <w:color w:val="auto"/>
          <w:sz w:val="32"/>
          <w:szCs w:val="32"/>
          <w:highlight w:val="none"/>
        </w:rPr>
      </w:pPr>
      <w:bookmarkStart w:id="25" w:name="_Toc23580"/>
      <w:bookmarkStart w:id="26" w:name="_Toc16485"/>
      <w:r>
        <w:rPr>
          <w:rFonts w:hint="eastAsia" w:ascii="仿宋_GB2312" w:eastAsia="仿宋_GB2312"/>
          <w:color w:val="auto"/>
          <w:sz w:val="32"/>
          <w:szCs w:val="32"/>
          <w:highlight w:val="none"/>
        </w:rPr>
        <w:t>1.财政拨款收入：指单位从同级财政部门取得的财政预算资金。</w:t>
      </w:r>
      <w:bookmarkEnd w:id="25"/>
      <w:bookmarkEnd w:id="26"/>
    </w:p>
    <w:p>
      <w:pPr>
        <w:pStyle w:val="10"/>
        <w:spacing w:before="93" w:beforeLines="0" w:afterLines="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2.其他收入：指单位取得的除上述收入以外的各项收入。主要是利息收入。</w:t>
      </w:r>
    </w:p>
    <w:p>
      <w:pPr>
        <w:pStyle w:val="10"/>
        <w:spacing w:before="93" w:beforeLines="0" w:afterLines="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3.年初结转和结余：指以前年度尚未完成、结转到本年按有关规定继续使用的资金。</w:t>
      </w:r>
    </w:p>
    <w:p>
      <w:pPr>
        <w:pStyle w:val="10"/>
        <w:spacing w:before="93" w:beforeLines="0" w:afterLines="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4.年末结转和结余：指单位按有关规定结转到下年或以后年度继续使用的资金。</w:t>
      </w:r>
    </w:p>
    <w:p>
      <w:pPr>
        <w:pStyle w:val="10"/>
        <w:spacing w:before="93" w:beforeLines="0" w:afterLines="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5. </w:t>
      </w:r>
      <w:r>
        <w:rPr>
          <w:rFonts w:hint="eastAsia" w:ascii="仿宋_GB2312" w:hAnsi="仿宋" w:eastAsia="仿宋_GB2312"/>
          <w:color w:val="auto"/>
          <w:sz w:val="32"/>
          <w:szCs w:val="32"/>
          <w:highlight w:val="none"/>
        </w:rPr>
        <w:t>文化旅游体育与传媒支出（类）文化和旅游（款）文化创作与保护（项）支出：反映鼓励文学、艺术创作和优秀传统文化保护方面的支出。</w:t>
      </w:r>
    </w:p>
    <w:p>
      <w:pPr>
        <w:pStyle w:val="10"/>
        <w:spacing w:before="93" w:beforeLines="0" w:afterLines="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w:t>
      </w:r>
      <w:r>
        <w:rPr>
          <w:rFonts w:hint="eastAsia" w:ascii="仿宋_GB2312" w:hAnsi="仿宋" w:eastAsia="仿宋_GB2312"/>
          <w:color w:val="auto"/>
          <w:sz w:val="32"/>
          <w:szCs w:val="32"/>
          <w:highlight w:val="none"/>
        </w:rPr>
        <w:t>社会保障和就业支出（类）行政事业单位养老支出（款）机关事业单位基本养老保险缴费支出（项）</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 xml:space="preserve"> 反映机关事业单位实施养老保险制度由单位缴纳的基本养老保险支出。</w:t>
      </w:r>
    </w:p>
    <w:p>
      <w:pPr>
        <w:pStyle w:val="10"/>
        <w:spacing w:before="93" w:beforeLines="0" w:afterLines="0" w:line="60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w:t>
      </w:r>
      <w:r>
        <w:rPr>
          <w:rFonts w:hint="eastAsia" w:ascii="仿宋_GB2312" w:hAnsi="仿宋" w:eastAsia="仿宋_GB2312"/>
          <w:color w:val="auto"/>
          <w:sz w:val="32"/>
          <w:szCs w:val="32"/>
          <w:highlight w:val="none"/>
        </w:rPr>
        <w:t>卫生健康支出（类）行政事业单位医疗（款）事业单位医疗（项）</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反映财政部门安排的事业单位基本医疗保险缴费经费，未参加医疗保险的事业单位的公费医疗经费</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按国家规定享受离休人员待遇的医疗经费。</w:t>
      </w:r>
    </w:p>
    <w:p>
      <w:pPr>
        <w:spacing w:line="600" w:lineRule="exact"/>
        <w:ind w:firstLine="640" w:firstLineChars="200"/>
        <w:rPr>
          <w:rFonts w:hint="eastAsia" w:ascii="仿宋_GB2312" w:hAnsi="Times New Roman" w:eastAsia="仿宋_GB2312"/>
          <w:color w:val="auto"/>
          <w:sz w:val="32"/>
          <w:szCs w:val="24"/>
          <w:highlight w:val="none"/>
        </w:rPr>
      </w:pPr>
      <w:r>
        <w:rPr>
          <w:rFonts w:hint="eastAsia" w:ascii="仿宋_GB2312" w:hAnsi="Times New Roman" w:eastAsia="仿宋_GB2312"/>
          <w:color w:val="auto"/>
          <w:sz w:val="32"/>
          <w:szCs w:val="24"/>
          <w:highlight w:val="none"/>
        </w:rPr>
        <w:t>8.</w:t>
      </w:r>
      <w:r>
        <w:rPr>
          <w:rFonts w:hint="eastAsia" w:ascii="仿宋_GB2312" w:hAnsi="仿宋" w:eastAsia="仿宋_GB2312" w:cs="仿宋"/>
          <w:color w:val="auto"/>
          <w:sz w:val="32"/>
          <w:szCs w:val="32"/>
          <w:highlight w:val="none"/>
        </w:rPr>
        <w:t>住房保障支出（类）住房改革支出（款）住房公积金（项）</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 xml:space="preserve"> 反映行政事业单位按人力资源和社会保障部、财政部规定的基本工资和津贴补贴以及规定比例为职工缴纳的住房公积金。</w:t>
      </w:r>
    </w:p>
    <w:p>
      <w:pPr>
        <w:spacing w:line="600" w:lineRule="exact"/>
        <w:ind w:firstLine="640" w:firstLineChars="200"/>
        <w:rPr>
          <w:rFonts w:hint="eastAsia" w:ascii="仿宋_GB2312" w:hAnsi="仿宋" w:eastAsia="仿宋_GB2312" w:cs="仿宋"/>
          <w:color w:val="auto"/>
          <w:sz w:val="32"/>
          <w:szCs w:val="32"/>
          <w:highlight w:val="none"/>
        </w:rPr>
      </w:pPr>
      <w:r>
        <w:rPr>
          <w:rFonts w:hint="eastAsia" w:ascii="仿宋_GB2312" w:hAnsi="Times New Roman" w:eastAsia="仿宋_GB2312"/>
          <w:color w:val="auto"/>
          <w:sz w:val="32"/>
          <w:szCs w:val="24"/>
          <w:highlight w:val="none"/>
        </w:rPr>
        <w:t>9.基本支出：指为保障机构正常运转、完成日常工作任务而发生的人员支出和公用支出。</w:t>
      </w:r>
    </w:p>
    <w:p>
      <w:pPr>
        <w:spacing w:line="600" w:lineRule="exact"/>
        <w:ind w:firstLine="640" w:firstLineChars="200"/>
        <w:rPr>
          <w:rFonts w:hint="eastAsia" w:ascii="仿宋_GB2312" w:hAnsi="仿宋" w:eastAsia="仿宋_GB2312" w:cs="仿宋"/>
          <w:color w:val="auto"/>
          <w:sz w:val="32"/>
          <w:szCs w:val="32"/>
          <w:highlight w:val="none"/>
        </w:rPr>
      </w:pPr>
      <w:r>
        <w:rPr>
          <w:rFonts w:hint="eastAsia" w:ascii="仿宋_GB2312" w:hAnsi="Times New Roman" w:eastAsia="仿宋_GB2312"/>
          <w:color w:val="auto"/>
          <w:sz w:val="32"/>
          <w:szCs w:val="24"/>
          <w:highlight w:val="none"/>
        </w:rPr>
        <w:t>10.项目支出：指在基本支出之外为完成特定行政任务和事业发展目标所发生的支出。</w:t>
      </w:r>
    </w:p>
    <w:p>
      <w:pPr>
        <w:ind w:firstLine="640" w:firstLineChars="200"/>
        <w:rPr>
          <w:rFonts w:ascii="仿宋_GB2312" w:hAnsi="仿宋" w:eastAsia="仿宋_GB2312" w:cs="仿宋"/>
          <w:color w:val="auto"/>
          <w:sz w:val="32"/>
          <w:szCs w:val="32"/>
          <w:highlight w:val="none"/>
        </w:rPr>
      </w:pPr>
      <w:r>
        <w:rPr>
          <w:rFonts w:hint="eastAsia" w:ascii="仿宋_GB2312" w:eastAsia="仿宋_GB2312"/>
          <w:color w:val="auto"/>
          <w:sz w:val="32"/>
          <w:szCs w:val="32"/>
          <w:highlight w:val="none"/>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2200" w:firstLineChars="500"/>
        <w:jc w:val="both"/>
        <w:outlineLvl w:val="0"/>
        <w:rPr>
          <w:rFonts w:hint="eastAsia" w:ascii="黑体" w:hAnsi="黑体" w:eastAsia="黑体"/>
          <w:color w:val="auto"/>
          <w:kern w:val="2"/>
          <w:sz w:val="44"/>
          <w:szCs w:val="24"/>
          <w:highlight w:val="none"/>
          <w:lang w:val="en-US"/>
        </w:rPr>
      </w:pPr>
      <w:bookmarkStart w:id="27" w:name="_Toc8451"/>
    </w:p>
    <w:p>
      <w:pPr>
        <w:spacing w:line="600" w:lineRule="exact"/>
        <w:ind w:firstLine="2200" w:firstLineChars="500"/>
        <w:jc w:val="both"/>
        <w:outlineLvl w:val="0"/>
        <w:rPr>
          <w:rFonts w:hint="eastAsia" w:ascii="黑体" w:hAnsi="黑体" w:eastAsia="黑体"/>
          <w:color w:val="auto"/>
          <w:kern w:val="2"/>
          <w:sz w:val="44"/>
          <w:szCs w:val="24"/>
          <w:highlight w:val="none"/>
          <w:lang w:val="en-US"/>
        </w:rPr>
      </w:pPr>
    </w:p>
    <w:p>
      <w:pPr>
        <w:spacing w:line="600" w:lineRule="exact"/>
        <w:ind w:firstLine="2200" w:firstLineChars="500"/>
        <w:jc w:val="both"/>
        <w:outlineLvl w:val="0"/>
        <w:rPr>
          <w:rFonts w:hint="eastAsia" w:ascii="黑体" w:hAnsi="黑体" w:eastAsia="黑体"/>
          <w:color w:val="auto"/>
          <w:kern w:val="2"/>
          <w:sz w:val="44"/>
          <w:szCs w:val="24"/>
          <w:highlight w:val="none"/>
          <w:lang w:val="en-US"/>
        </w:rPr>
      </w:pPr>
    </w:p>
    <w:p>
      <w:pPr>
        <w:spacing w:line="600" w:lineRule="exact"/>
        <w:ind w:firstLine="2200" w:firstLineChars="500"/>
        <w:jc w:val="both"/>
        <w:outlineLvl w:val="0"/>
        <w:rPr>
          <w:rFonts w:hint="eastAsia" w:ascii="黑体" w:hAnsi="黑体" w:eastAsia="黑体"/>
          <w:color w:val="auto"/>
          <w:kern w:val="2"/>
          <w:sz w:val="44"/>
          <w:szCs w:val="24"/>
          <w:highlight w:val="none"/>
          <w:lang w:val="en-US"/>
        </w:rPr>
      </w:pPr>
    </w:p>
    <w:p>
      <w:pPr>
        <w:spacing w:line="600" w:lineRule="exact"/>
        <w:ind w:firstLine="2200" w:firstLineChars="500"/>
        <w:jc w:val="both"/>
        <w:outlineLvl w:val="0"/>
        <w:rPr>
          <w:rFonts w:hint="eastAsia" w:ascii="黑体" w:hAnsi="黑体" w:eastAsia="黑体"/>
          <w:color w:val="auto"/>
          <w:kern w:val="2"/>
          <w:sz w:val="44"/>
          <w:szCs w:val="24"/>
          <w:highlight w:val="none"/>
          <w:lang w:val="en-US"/>
        </w:rPr>
      </w:pPr>
    </w:p>
    <w:p>
      <w:pPr>
        <w:spacing w:line="600" w:lineRule="exact"/>
        <w:ind w:firstLine="2200" w:firstLineChars="500"/>
        <w:jc w:val="both"/>
        <w:outlineLvl w:val="0"/>
        <w:rPr>
          <w:rFonts w:hint="eastAsia" w:ascii="黑体" w:hAnsi="黑体" w:eastAsia="黑体"/>
          <w:color w:val="auto"/>
          <w:kern w:val="2"/>
          <w:sz w:val="44"/>
          <w:szCs w:val="24"/>
          <w:highlight w:val="none"/>
          <w:lang w:val="en-US"/>
        </w:rPr>
      </w:pPr>
    </w:p>
    <w:p>
      <w:pPr>
        <w:spacing w:line="600" w:lineRule="exact"/>
        <w:jc w:val="both"/>
        <w:outlineLvl w:val="0"/>
        <w:rPr>
          <w:rFonts w:hint="eastAsia" w:ascii="黑体" w:hAnsi="黑体" w:eastAsia="黑体"/>
          <w:color w:val="auto"/>
          <w:kern w:val="2"/>
          <w:sz w:val="44"/>
          <w:szCs w:val="24"/>
          <w:highlight w:val="none"/>
          <w:lang w:val="en-US"/>
        </w:rPr>
        <w:sectPr>
          <w:footerReference r:id="rId5" w:type="default"/>
          <w:pgSz w:w="11906" w:h="16838"/>
          <w:pgMar w:top="1440" w:right="1800" w:bottom="1440" w:left="1800" w:header="851" w:footer="992" w:gutter="0"/>
          <w:pgNumType w:fmt="decimal" w:start="1"/>
          <w:cols w:space="425" w:num="1"/>
          <w:docGrid w:type="lines" w:linePitch="312" w:charSpace="0"/>
        </w:sectPr>
      </w:pPr>
    </w:p>
    <w:p>
      <w:pPr>
        <w:spacing w:line="600" w:lineRule="exact"/>
        <w:ind w:firstLine="5720" w:firstLineChars="1300"/>
        <w:jc w:val="both"/>
        <w:outlineLvl w:val="0"/>
        <w:rPr>
          <w:rFonts w:hint="eastAsia" w:ascii="仿宋_GB2312" w:hAnsi="仿宋_GB2312" w:eastAsia="仿宋_GB2312"/>
          <w:color w:val="auto"/>
          <w:kern w:val="2"/>
          <w:sz w:val="32"/>
          <w:szCs w:val="24"/>
          <w:highlight w:val="none"/>
          <w:lang w:val="en-US"/>
        </w:rPr>
      </w:pPr>
      <w:r>
        <w:rPr>
          <w:rFonts w:hint="eastAsia" w:ascii="黑体" w:hAnsi="黑体" w:eastAsia="黑体"/>
          <w:color w:val="auto"/>
          <w:kern w:val="2"/>
          <w:sz w:val="44"/>
          <w:szCs w:val="24"/>
          <w:highlight w:val="none"/>
          <w:lang w:val="en-US"/>
        </w:rPr>
        <w:t>第</w:t>
      </w:r>
      <w:r>
        <w:rPr>
          <w:rFonts w:hint="eastAsia" w:ascii="黑体" w:hAnsi="黑体" w:eastAsia="黑体"/>
          <w:color w:val="auto"/>
          <w:kern w:val="44"/>
          <w:sz w:val="44"/>
          <w:szCs w:val="24"/>
          <w:highlight w:val="none"/>
          <w:lang w:val="en-US"/>
        </w:rPr>
        <w:t>四部分 附件</w:t>
      </w:r>
      <w:bookmarkEnd w:id="27"/>
    </w:p>
    <w:p>
      <w:pPr>
        <w:spacing w:line="600" w:lineRule="exact"/>
        <w:jc w:val="center"/>
        <w:rPr>
          <w:rFonts w:hint="eastAsia" w:ascii="宋体" w:hAnsi="宋体"/>
          <w:color w:val="auto"/>
          <w:sz w:val="32"/>
          <w:szCs w:val="24"/>
          <w:highlight w:val="none"/>
          <w:lang w:val="en-US" w:eastAsia="zh-CN"/>
        </w:rPr>
      </w:pPr>
      <w:r>
        <w:rPr>
          <w:rFonts w:hint="eastAsia" w:ascii="宋体" w:hAnsi="宋体"/>
          <w:color w:val="auto"/>
          <w:sz w:val="32"/>
          <w:szCs w:val="24"/>
          <w:highlight w:val="none"/>
          <w:lang w:val="en-US" w:eastAsia="zh-CN"/>
        </w:rPr>
        <w:t xml:space="preserve">  </w:t>
      </w:r>
      <w:r>
        <w:rPr>
          <w:rFonts w:hint="eastAsia" w:ascii="宋体" w:hAnsi="宋体" w:eastAsia="宋体"/>
          <w:color w:val="auto"/>
          <w:sz w:val="32"/>
          <w:szCs w:val="24"/>
          <w:highlight w:val="none"/>
          <w:lang w:val="en-US"/>
        </w:rPr>
        <w:t>部门预算项目支出绩效自评表（2022年度</w:t>
      </w:r>
      <w:r>
        <w:rPr>
          <w:rFonts w:hint="eastAsia" w:ascii="宋体" w:hAnsi="宋体"/>
          <w:color w:val="auto"/>
          <w:sz w:val="32"/>
          <w:szCs w:val="24"/>
          <w:highlight w:val="none"/>
          <w:lang w:val="en-US" w:eastAsia="zh-CN"/>
        </w:rPr>
        <w:t>）</w:t>
      </w:r>
    </w:p>
    <w:p>
      <w:pPr>
        <w:pStyle w:val="2"/>
        <w:rPr>
          <w:rFonts w:hint="default" w:eastAsia="仿宋_GB2312"/>
          <w:color w:val="auto"/>
          <w:highlight w:val="none"/>
          <w:lang w:val="en-US" w:eastAsia="zh-CN"/>
        </w:rPr>
      </w:pPr>
      <w:r>
        <w:rPr>
          <w:rFonts w:hint="eastAsia"/>
          <w:color w:val="auto"/>
          <w:highlight w:val="none"/>
          <w:lang w:val="en-US" w:eastAsia="zh-CN"/>
        </w:rPr>
        <w:t>附件1</w:t>
      </w:r>
    </w:p>
    <w:tbl>
      <w:tblPr>
        <w:tblStyle w:val="7"/>
        <w:tblW w:w="14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9"/>
        <w:gridCol w:w="2000"/>
        <w:gridCol w:w="1736"/>
        <w:gridCol w:w="2226"/>
        <w:gridCol w:w="601"/>
        <w:gridCol w:w="1552"/>
        <w:gridCol w:w="517"/>
        <w:gridCol w:w="1082"/>
        <w:gridCol w:w="576"/>
        <w:gridCol w:w="636"/>
        <w:gridCol w:w="2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51000021R000000019951-工资性支出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严格执行相关政策，保障工资及时发放、足额发放，预算编制科学合理，减少结余资金</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r>
              <w:rPr>
                <w:rFonts w:hint="eastAsia" w:ascii="宋体" w:hAnsi="宋体" w:cs="宋体"/>
                <w:color w:val="auto"/>
                <w:kern w:val="0"/>
                <w:sz w:val="18"/>
                <w:szCs w:val="18"/>
                <w:highlight w:val="none"/>
              </w:rPr>
              <w:t>严格执行相关政策，保障工资及时发放、足额发放，五险一金及时申报缴纳。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31.05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30.37</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30.37</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r>
              <w:rPr>
                <w:rFonts w:hint="eastAsia" w:ascii="黑体" w:hAnsi="黑体" w:eastAsia="黑体" w:cs="黑体"/>
                <w:i/>
                <w:iCs/>
                <w:color w:val="auto"/>
                <w:sz w:val="18"/>
                <w:szCs w:val="18"/>
                <w:highlight w:val="none"/>
                <w:u w:val="none"/>
                <w:lang w:val="en-US" w:eastAsia="zh-CN"/>
              </w:rPr>
              <w:t>人员调动，发放工资金额减少。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31.05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30.37</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30.37</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产出指标</w:t>
            </w:r>
          </w:p>
        </w:tc>
        <w:tc>
          <w:tcPr>
            <w:tcW w:w="17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科目调整次数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21.5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足额保障率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22.5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时效指标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按时发放率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22.5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效益指标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经济效益指标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结余率（计算方法为：结余数/预算数）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21.5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宋体"/>
                <w:color w:val="auto"/>
                <w:kern w:val="0"/>
                <w:sz w:val="16"/>
                <w:szCs w:val="16"/>
                <w:highlight w:val="none"/>
              </w:rPr>
              <w:t>本单位按要求对2022年部门整体支出开展绩效自评，从评价情况来看我单位支出绩效评价自查自评结果良好，全年基本支出保障工资及时发放、足额发放，五险一金及时申报缴纳，绩效目标得到较好实现，绩效管理水平不断提高，绩效指标体系逐渐丰富和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微软雅黑"/>
                <w:i/>
                <w:iCs/>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微软雅黑"/>
                <w:i/>
                <w:iCs/>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nil"/>
              <w:left w:val="nil"/>
              <w:bottom w:val="nil"/>
              <w:right w:val="nil"/>
            </w:tcBorders>
            <w:noWrap w:val="0"/>
            <w:vAlign w:val="center"/>
          </w:tcPr>
          <w:p>
            <w:pPr>
              <w:pStyle w:val="2"/>
              <w:rPr>
                <w:rFonts w:hint="eastAsia" w:ascii="宋体" w:hAnsi="宋体" w:eastAsia="宋体" w:cs="宋体"/>
                <w:i w:val="0"/>
                <w:iCs w:val="0"/>
                <w:color w:val="auto"/>
                <w:sz w:val="18"/>
                <w:szCs w:val="18"/>
                <w:highlight w:val="none"/>
                <w:u w:val="none"/>
              </w:rPr>
            </w:pPr>
            <w:r>
              <w:rPr>
                <w:rFonts w:hint="eastAsia"/>
                <w:color w:val="auto"/>
                <w:highlight w:val="none"/>
                <w:lang w:val="en-US" w:eastAsia="zh-CN"/>
              </w:rPr>
              <w:t>附件2</w:t>
            </w:r>
          </w:p>
        </w:tc>
        <w:tc>
          <w:tcPr>
            <w:tcW w:w="17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22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01"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55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17"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08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7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51080021T000000053060-非遗项目传承保护及数据建设经费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宣传推介非遗起到积极地作用、建立数据库，更完整、更全面的保存项目资料、方便查阅、了解、掌握项目情况。</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组织非遗培训，指导县区工作，组织学习考察，进校园、进景区、社区，开展非遗活动，非遗项目资料收集整理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360" w:firstLineChars="20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全年组织白花石刻、歧坪真丝地挂毯等30余项优秀非遗项目在活动现场进行展示展销，完成直播7场，发布拜年视频8条，活动相关短视频63条，非遗业务学习4次，促进非遗保护专业人才培养</w:t>
            </w:r>
            <w:r>
              <w:rPr>
                <w:rFonts w:hint="eastAsia" w:ascii="宋体" w:hAnsi="宋体" w:cs="宋体"/>
                <w:i w:val="0"/>
                <w:iCs w:val="0"/>
                <w:color w:val="auto"/>
                <w:kern w:val="0"/>
                <w:sz w:val="18"/>
                <w:szCs w:val="18"/>
                <w:highlight w:val="none"/>
                <w:u w:val="none"/>
                <w:lang w:val="en-US" w:eastAsia="zh-CN" w:bidi="ar"/>
              </w:rPr>
              <w:t>，进社区景区校园共2次，收集整理非遗项目13项</w:t>
            </w:r>
            <w:r>
              <w:rPr>
                <w:rFonts w:hint="eastAsia" w:ascii="宋体" w:hAnsi="宋体" w:eastAsia="宋体" w:cs="宋体"/>
                <w:i w:val="0"/>
                <w:iCs w:val="0"/>
                <w:color w:val="auto"/>
                <w:kern w:val="0"/>
                <w:sz w:val="18"/>
                <w:szCs w:val="18"/>
                <w:highlight w:val="none"/>
                <w:u w:val="none"/>
                <w:lang w:val="en-US" w:eastAsia="zh-CN" w:bidi="ar"/>
              </w:rPr>
              <w:t>。</w:t>
            </w:r>
          </w:p>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7.92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7.92</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7.92</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7.92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7.92</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7.92</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产出指标</w:t>
            </w:r>
          </w:p>
        </w:tc>
        <w:tc>
          <w:tcPr>
            <w:tcW w:w="17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组织学习、考察</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指导县区工作</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非遗项目资料收集、整理数量</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8</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组织非遗培训</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进社区、校园、景区</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展演、展示、展销</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时效指标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实施方案时间</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1</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效益指标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社会效益指标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唤起社会保护优秀传统文化的意识、让非遗更好的传承和保护</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定性</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优良中低差</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优</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满意度指标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服务对象满意度指标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传承人满意度</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90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90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iCs/>
                <w:color w:val="auto"/>
                <w:sz w:val="16"/>
                <w:szCs w:val="16"/>
                <w:highlight w:val="none"/>
                <w:u w:val="none"/>
                <w:lang w:val="en-US"/>
              </w:rPr>
            </w:pPr>
            <w:r>
              <w:rPr>
                <w:rFonts w:hint="eastAsia" w:ascii="宋体" w:hAnsi="宋体" w:eastAsia="宋体" w:cs="宋体"/>
                <w:i w:val="0"/>
                <w:iCs w:val="0"/>
                <w:color w:val="auto"/>
                <w:kern w:val="0"/>
                <w:sz w:val="18"/>
                <w:szCs w:val="18"/>
                <w:highlight w:val="none"/>
                <w:u w:val="none"/>
                <w:lang w:val="en-US" w:eastAsia="zh-CN" w:bidi="ar"/>
              </w:rPr>
              <w:t>项目全年预算数7.92万元，执行数为7.92万元，完成预算的100%。自评得分95分，通过项目的实施，促进非遗传承保护，提高对非遗的保护意识，唤起群人对传统文化的保护意识。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宋体" w:hAnsi="宋体" w:eastAsia="宋体" w:cs="宋体"/>
                <w:i w:val="0"/>
                <w:iCs w:val="0"/>
                <w:color w:val="auto"/>
                <w:kern w:val="0"/>
                <w:sz w:val="18"/>
                <w:szCs w:val="18"/>
                <w:highlight w:val="none"/>
                <w:u w:val="none"/>
                <w:lang w:val="en-US" w:eastAsia="zh-CN" w:bidi="ar"/>
              </w:rPr>
              <w:t>绩效目标管理和预算编制需完善。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color w:val="auto"/>
                <w:sz w:val="18"/>
                <w:szCs w:val="18"/>
                <w:highlight w:val="none"/>
              </w:rPr>
              <w:t>密切关注目标任务开展情况，确保实际工作切合绩效目标</w:t>
            </w:r>
            <w:r>
              <w:rPr>
                <w:rFonts w:hint="eastAsia"/>
                <w:color w:val="auto"/>
                <w:sz w:val="18"/>
                <w:szCs w:val="18"/>
                <w:highlight w:val="none"/>
                <w:lang w:eastAsia="zh-CN"/>
              </w:rPr>
              <w:t>，</w:t>
            </w:r>
            <w:r>
              <w:rPr>
                <w:color w:val="auto"/>
                <w:sz w:val="18"/>
                <w:szCs w:val="18"/>
                <w:highlight w:val="none"/>
              </w:rPr>
              <w:t>提升绩效目标编制。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nil"/>
              <w:left w:val="nil"/>
              <w:bottom w:val="nil"/>
              <w:right w:val="nil"/>
            </w:tcBorders>
            <w:noWrap w:val="0"/>
            <w:vAlign w:val="center"/>
          </w:tcPr>
          <w:p>
            <w:pPr>
              <w:pStyle w:val="2"/>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24"/>
                <w:szCs w:val="24"/>
                <w:highlight w:val="none"/>
                <w:u w:val="none"/>
                <w:lang w:val="en-US" w:eastAsia="zh-CN"/>
              </w:rPr>
              <w:t>附件3</w:t>
            </w:r>
          </w:p>
        </w:tc>
        <w:tc>
          <w:tcPr>
            <w:tcW w:w="17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22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01"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55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17"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08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7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51080021Y000000176770-其他公用经费（福利、工会、公车补贴、党建、退休活动）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保障单位日常运转，提高预算编制质量，严格执行预算</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相关政策，</w:t>
            </w:r>
            <w:r>
              <w:rPr>
                <w:rFonts w:hint="eastAsia" w:ascii="宋体" w:hAnsi="宋体" w:cs="宋体"/>
                <w:color w:val="auto"/>
                <w:kern w:val="0"/>
                <w:sz w:val="18"/>
                <w:szCs w:val="18"/>
                <w:highlight w:val="none"/>
              </w:rPr>
              <w:t>提高预算编制质量，保障单位日常运转，严格执行预算。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r>
              <w:rPr>
                <w:rFonts w:hint="eastAsia" w:ascii="宋体" w:hAnsi="宋体" w:cs="宋体"/>
                <w:color w:val="auto"/>
                <w:kern w:val="0"/>
                <w:sz w:val="18"/>
                <w:szCs w:val="18"/>
                <w:highlight w:val="none"/>
              </w:rPr>
              <w:t>保障单位日常运转，严格执行预算。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2.19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2.19</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2.19</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2.19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2.19</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2.19</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产出指标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科目调整次数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22.5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质量指标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预算编制准确率（计算方法为：∣（执行数-预算数）/预算数∣）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21.5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效益指标</w:t>
            </w:r>
          </w:p>
        </w:tc>
        <w:tc>
          <w:tcPr>
            <w:tcW w:w="17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经济效益指标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“三公经费”控制率[计算方法为：（三公经费实际支出数/预算安排数]×100%）</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21.5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运转保障率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21.5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97</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仿宋_GB2312" w:hAnsi="微软雅黑" w:eastAsia="仿宋_GB2312" w:cs="宋体"/>
                <w:iCs/>
                <w:color w:val="auto"/>
                <w:kern w:val="0"/>
                <w:sz w:val="20"/>
                <w:szCs w:val="20"/>
                <w:highlight w:val="none"/>
              </w:rPr>
              <w:t>本单位按要求对2022年部门项目支出开展绩效自评，从评价情况来看我单位支出绩效评价自查自评结果良好，保证了单位的基本正常运转，绩效目标得到较好实现，绩效管理水平不断提高，绩效指标体系逐渐丰富和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仿宋_GB2312" w:hAnsi="微软雅黑" w:eastAsia="仿宋_GB2312" w:cs="宋体"/>
                <w:iCs/>
                <w:color w:val="auto"/>
                <w:kern w:val="0"/>
                <w:szCs w:val="21"/>
                <w:highlight w:val="none"/>
                <w:lang w:val="en-US" w:eastAsia="zh-CN"/>
              </w:rPr>
              <w:t>申报的预算与实际支出有偏差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仿宋_GB2312" w:hAnsi="微软雅黑" w:eastAsia="仿宋_GB2312" w:cs="宋体"/>
                <w:iCs/>
                <w:color w:val="auto"/>
                <w:kern w:val="0"/>
                <w:szCs w:val="21"/>
                <w:highlight w:val="none"/>
              </w:rPr>
              <w:t>提高预算编制质量，严格按预算执行。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nil"/>
              <w:left w:val="nil"/>
              <w:bottom w:val="nil"/>
              <w:right w:val="nil"/>
            </w:tcBorders>
            <w:noWrap w:val="0"/>
            <w:vAlign w:val="center"/>
          </w:tcPr>
          <w:p>
            <w:pPr>
              <w:pStyle w:val="2"/>
              <w:jc w:val="both"/>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24"/>
                <w:szCs w:val="24"/>
                <w:highlight w:val="none"/>
                <w:u w:val="none"/>
                <w:lang w:val="en-US" w:eastAsia="zh-CN"/>
              </w:rPr>
              <w:t>附件4</w:t>
            </w:r>
          </w:p>
        </w:tc>
        <w:tc>
          <w:tcPr>
            <w:tcW w:w="17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22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01"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55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17"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08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7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51080022R000000267546-工资性支出（事业）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严格执行相关政策，保障工资及时发放、足额发放，预算编制科学合理，减少结余资金</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ascii="Courier New" w:hAnsi="Courier New" w:cs="Courier New"/>
                <w:color w:val="auto"/>
                <w:kern w:val="0"/>
                <w:sz w:val="18"/>
                <w:szCs w:val="18"/>
                <w:highlight w:val="none"/>
              </w:rPr>
              <w:t>严格执行相关政策，保障工资及时发放、足额发放，预算编制科学合理，无结余资金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r>
              <w:rPr>
                <w:rFonts w:hint="eastAsia" w:ascii="宋体" w:hAnsi="宋体" w:cs="宋体"/>
                <w:color w:val="auto"/>
                <w:kern w:val="0"/>
                <w:sz w:val="18"/>
                <w:szCs w:val="18"/>
                <w:highlight w:val="none"/>
              </w:rPr>
              <w:t>严格执行相关政策，保障工资及时发放、足额发放。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44.28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66.44</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66.44</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r>
              <w:rPr>
                <w:rFonts w:hint="eastAsia" w:ascii="仿宋_GB2312" w:hAnsi="Courier New" w:eastAsia="仿宋_GB2312" w:cs="Courier New"/>
                <w:iCs/>
                <w:color w:val="auto"/>
                <w:kern w:val="0"/>
                <w:sz w:val="18"/>
                <w:szCs w:val="18"/>
                <w:highlight w:val="none"/>
              </w:rPr>
              <w:t>社保按相关政策调整了养老保险缴费基数，</w:t>
            </w:r>
            <w:r>
              <w:rPr>
                <w:rFonts w:hint="eastAsia" w:ascii="仿宋_GB2312" w:hAnsi="Courier New" w:eastAsia="仿宋_GB2312" w:cs="Courier New"/>
                <w:color w:val="auto"/>
                <w:kern w:val="0"/>
                <w:sz w:val="18"/>
                <w:szCs w:val="18"/>
                <w:highlight w:val="none"/>
              </w:rPr>
              <w:t>财政按相关政策追加了绩效奖及保险费。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44.28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66.44</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66.44</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产出指标</w:t>
            </w:r>
          </w:p>
        </w:tc>
        <w:tc>
          <w:tcPr>
            <w:tcW w:w="17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足额保障率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21.5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科目调整次数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21.5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时效指标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按时发放率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22.5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效益指标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经济效益指标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结余率（计算方法为：结余数/预算数）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22.5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98</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仿宋_GB2312" w:hAnsi="微软雅黑" w:eastAsia="仿宋_GB2312" w:cs="宋体"/>
                <w:iCs/>
                <w:color w:val="auto"/>
                <w:kern w:val="0"/>
                <w:sz w:val="20"/>
                <w:szCs w:val="20"/>
                <w:highlight w:val="none"/>
              </w:rPr>
              <w:t>严格执行相关政策，保障工资及时发放、足额发放，预算编制科学合理，无结余资金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仿宋_GB2312" w:hAnsi="微软雅黑" w:eastAsia="仿宋_GB2312" w:cs="宋体"/>
                <w:iCs/>
                <w:color w:val="auto"/>
                <w:kern w:val="0"/>
                <w:szCs w:val="21"/>
                <w:highlight w:val="none"/>
              </w:rPr>
              <w:t>医保费、社保费缴费</w:t>
            </w:r>
            <w:r>
              <w:rPr>
                <w:rFonts w:hint="eastAsia" w:ascii="仿宋_GB2312" w:hAnsi="微软雅黑" w:eastAsia="仿宋_GB2312" w:cs="宋体"/>
                <w:iCs/>
                <w:color w:val="auto"/>
                <w:kern w:val="0"/>
                <w:szCs w:val="21"/>
                <w:highlight w:val="none"/>
                <w:lang w:val="en-US" w:eastAsia="zh-CN"/>
              </w:rPr>
              <w:t>基数</w:t>
            </w:r>
            <w:r>
              <w:rPr>
                <w:rFonts w:hint="eastAsia" w:ascii="仿宋_GB2312" w:hAnsi="微软雅黑" w:eastAsia="仿宋_GB2312" w:cs="宋体"/>
                <w:iCs/>
                <w:color w:val="auto"/>
                <w:kern w:val="0"/>
                <w:szCs w:val="21"/>
                <w:highlight w:val="none"/>
              </w:rPr>
              <w:t>有变动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微软雅黑"/>
                <w:i/>
                <w:iCs/>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nil"/>
              <w:left w:val="nil"/>
              <w:bottom w:val="nil"/>
              <w:right w:val="nil"/>
            </w:tcBorders>
            <w:noWrap w:val="0"/>
            <w:vAlign w:val="center"/>
          </w:tcPr>
          <w:p>
            <w:pPr>
              <w:pStyle w:val="2"/>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24"/>
                <w:szCs w:val="24"/>
                <w:highlight w:val="none"/>
                <w:u w:val="none"/>
                <w:lang w:val="en-US" w:eastAsia="zh-CN"/>
              </w:rPr>
              <w:t>附件5</w:t>
            </w:r>
          </w:p>
        </w:tc>
        <w:tc>
          <w:tcPr>
            <w:tcW w:w="17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22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01"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55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17"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08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7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51080022T000005470683-市非遗中心上级补助公共文化服务体系建设专项资金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ind w:firstLine="420" w:firstLineChars="200"/>
              <w:textAlignment w:val="center"/>
              <w:rPr>
                <w:rFonts w:hint="eastAsia" w:ascii="仿宋" w:hAnsi="仿宋" w:eastAsia="仿宋" w:cs="仿宋"/>
                <w:b w:val="0"/>
                <w:bCs w:val="0"/>
                <w:color w:val="auto"/>
                <w:kern w:val="2"/>
                <w:sz w:val="21"/>
                <w:szCs w:val="21"/>
                <w:highlight w:val="none"/>
                <w:lang w:val="en-US" w:eastAsia="zh-CN" w:bidi="ar-SA"/>
              </w:rPr>
            </w:pPr>
            <w:r>
              <w:rPr>
                <w:rFonts w:hint="eastAsia" w:ascii="仿宋" w:hAnsi="仿宋" w:eastAsia="仿宋" w:cs="仿宋"/>
                <w:b w:val="0"/>
                <w:bCs w:val="0"/>
                <w:color w:val="auto"/>
                <w:kern w:val="2"/>
                <w:sz w:val="21"/>
                <w:szCs w:val="21"/>
                <w:highlight w:val="none"/>
                <w:lang w:val="en-US" w:eastAsia="zh-CN" w:bidi="ar-SA"/>
              </w:rPr>
              <w:t>第八届国际非遗节将深入贯彻习近平总书记关于共同构建人类命运共同体理念和推进中华优秀传统文化创造性转化创新性发展，全面展现中国和国际社会履约实践及成果，充分彰显“各美其美、美人之美、美美与共”的多样性文化提升民众的参与感和获得感，让民众真正成为非遗的创造者与享用者，共创人类美好生活。</w:t>
            </w:r>
          </w:p>
          <w:p>
            <w:pPr>
              <w:rPr>
                <w:rFonts w:hint="eastAsia" w:ascii="宋体" w:hAnsi="宋体" w:eastAsia="宋体" w:cs="宋体"/>
                <w:i w:val="0"/>
                <w:iCs w:val="0"/>
                <w:color w:val="auto"/>
                <w:sz w:val="18"/>
                <w:szCs w:val="18"/>
                <w:highlight w:val="none"/>
                <w:u w:val="none"/>
              </w:rPr>
            </w:pP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仿宋" w:hAnsi="仿宋" w:eastAsia="仿宋" w:cs="仿宋"/>
                <w:b w:val="0"/>
                <w:bCs w:val="0"/>
                <w:color w:val="auto"/>
                <w:kern w:val="2"/>
                <w:sz w:val="21"/>
                <w:szCs w:val="21"/>
                <w:highlight w:val="none"/>
                <w:lang w:val="en-US" w:eastAsia="zh-CN" w:bidi="ar-SA"/>
              </w:rPr>
              <w:t>非遗进社区实践活动，圆满完成展示、展览、展销、展演活动，培训班如其举办。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ind w:firstLine="420" w:firstLineChars="200"/>
              <w:textAlignment w:val="center"/>
              <w:rPr>
                <w:rFonts w:hint="default" w:ascii="仿宋" w:hAnsi="仿宋" w:eastAsia="仿宋" w:cs="仿宋"/>
                <w:b w:val="0"/>
                <w:bCs w:val="0"/>
                <w:color w:val="auto"/>
                <w:kern w:val="2"/>
                <w:sz w:val="21"/>
                <w:szCs w:val="21"/>
                <w:highlight w:val="none"/>
                <w:lang w:val="en-US" w:eastAsia="zh-CN" w:bidi="ar-SA"/>
              </w:rPr>
            </w:pPr>
            <w:r>
              <w:rPr>
                <w:rFonts w:hint="eastAsia" w:ascii="仿宋" w:hAnsi="仿宋" w:eastAsia="仿宋" w:cs="仿宋"/>
                <w:b w:val="0"/>
                <w:bCs w:val="0"/>
                <w:color w:val="auto"/>
                <w:kern w:val="2"/>
                <w:sz w:val="21"/>
                <w:szCs w:val="21"/>
                <w:highlight w:val="none"/>
                <w:lang w:val="en-US" w:eastAsia="zh-CN" w:bidi="ar-SA"/>
              </w:rPr>
              <w:t>开展为期一月的广元非遗文创作品精品展暨白花石刻体验基地开放月活动。集中展示13个非遗项目。组织白花石刻国家级传承人唐骏向石刻艺术爱好者、学习者开展师带徒培训，促进白花石刻技艺提升发展，振兴传统工艺。</w:t>
            </w:r>
          </w:p>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9.00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9.00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9.00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9.00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9.00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9.00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产出指标</w:t>
            </w:r>
          </w:p>
        </w:tc>
        <w:tc>
          <w:tcPr>
            <w:tcW w:w="17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展演</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1</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1</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9</w:t>
            </w:r>
          </w:p>
        </w:tc>
        <w:tc>
          <w:tcPr>
            <w:tcW w:w="2495" w:type="dxa"/>
            <w:vMerge w:val="restart"/>
            <w:tcBorders>
              <w:top w:val="single" w:color="000000" w:sz="4" w:space="0"/>
              <w:left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展示项目</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13</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项</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15</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9</w:t>
            </w:r>
          </w:p>
        </w:tc>
        <w:tc>
          <w:tcPr>
            <w:tcW w:w="2495" w:type="dxa"/>
            <w:vMerge w:val="continue"/>
            <w:tcBorders>
              <w:left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展览时长</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1</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月</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1</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9</w:t>
            </w:r>
          </w:p>
        </w:tc>
        <w:tc>
          <w:tcPr>
            <w:tcW w:w="2495" w:type="dxa"/>
            <w:vMerge w:val="continue"/>
            <w:tcBorders>
              <w:left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组织非遗培训</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1</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期</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1</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w:t>
            </w:r>
          </w:p>
        </w:tc>
        <w:tc>
          <w:tcPr>
            <w:tcW w:w="2495" w:type="dxa"/>
            <w:vMerge w:val="continue"/>
            <w:tcBorders>
              <w:left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培训人数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人</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5</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w:t>
            </w:r>
          </w:p>
        </w:tc>
        <w:tc>
          <w:tcPr>
            <w:tcW w:w="2495" w:type="dxa"/>
            <w:vMerge w:val="continue"/>
            <w:tcBorders>
              <w:left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实施方案时间</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1</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年</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1</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w:t>
            </w:r>
          </w:p>
        </w:tc>
        <w:tc>
          <w:tcPr>
            <w:tcW w:w="249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效益指标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社会效益指标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唤起社会保护优秀传统文化的意识、让非遗更好的传承和保护</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定性</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优良中低差</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优</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color w:val="auto"/>
                <w:highlight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default"/>
                <w:color w:val="auto"/>
                <w:highlight w:val="none"/>
                <w:lang w:val="en-US" w:eastAsia="zh-CN"/>
              </w:rPr>
            </w:pPr>
            <w:r>
              <w:rPr>
                <w:rFonts w:hint="eastAsia"/>
                <w:color w:val="auto"/>
                <w:highlight w:val="none"/>
                <w:lang w:val="en-US" w:eastAsia="zh-CN"/>
              </w:rPr>
              <w:t>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满意度指标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服务对象满意度指标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群众、学员满意度</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95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95</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color w:val="auto"/>
                <w:highlight w:val="none"/>
                <w:lang w:val="en-US" w:eastAsia="zh-CN"/>
              </w:rPr>
            </w:pPr>
            <w:r>
              <w:rPr>
                <w:rFonts w:hint="eastAsia"/>
                <w:color w:val="auto"/>
                <w:highlight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pStyle w:val="2"/>
              <w:jc w:val="both"/>
              <w:rPr>
                <w:rFonts w:hint="default"/>
                <w:color w:val="auto"/>
                <w:highlight w:val="none"/>
                <w:lang w:val="en-US" w:eastAsia="zh-CN"/>
              </w:rPr>
            </w:pPr>
            <w:r>
              <w:rPr>
                <w:rFonts w:hint="eastAsia"/>
                <w:color w:val="auto"/>
                <w:highlight w:val="none"/>
                <w:lang w:val="en-US" w:eastAsia="zh-CN"/>
              </w:rPr>
              <w:t>10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成本指标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经济成本指标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 xml:space="preserve">    视频拍摄宣传经费</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4.5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万</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4.5</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pStyle w:val="2"/>
              <w:jc w:val="both"/>
              <w:rPr>
                <w:rFonts w:hint="default"/>
                <w:color w:val="auto"/>
                <w:highlight w:val="none"/>
                <w:lang w:val="en-US" w:eastAsia="zh-CN"/>
              </w:rPr>
            </w:pPr>
            <w:r>
              <w:rPr>
                <w:rFonts w:hint="eastAsia"/>
                <w:color w:val="auto"/>
                <w:highlight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pStyle w:val="2"/>
              <w:jc w:val="both"/>
              <w:rPr>
                <w:rFonts w:hint="default"/>
                <w:color w:val="auto"/>
                <w:highlight w:val="none"/>
                <w:lang w:val="en-US" w:eastAsia="zh-CN"/>
              </w:rPr>
            </w:pPr>
            <w:r>
              <w:rPr>
                <w:rFonts w:hint="eastAsia"/>
                <w:color w:val="auto"/>
                <w:highlight w:val="none"/>
                <w:lang w:val="en-US" w:eastAsia="zh-CN"/>
              </w:rPr>
              <w:t>10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96</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ind w:firstLine="360" w:firstLineChars="200"/>
              <w:textAlignment w:val="center"/>
              <w:rPr>
                <w:rFonts w:hint="eastAsia" w:ascii="微软雅黑" w:hAnsi="微软雅黑" w:eastAsia="微软雅黑" w:cs="微软雅黑"/>
                <w:i/>
                <w:iCs/>
                <w:color w:val="auto"/>
                <w:sz w:val="16"/>
                <w:szCs w:val="16"/>
                <w:highlight w:val="none"/>
                <w:u w:val="none"/>
              </w:rPr>
            </w:pPr>
            <w:r>
              <w:rPr>
                <w:rFonts w:hint="eastAsia" w:ascii="宋体" w:hAnsi="宋体" w:eastAsia="宋体" w:cs="宋体"/>
                <w:i w:val="0"/>
                <w:iCs w:val="0"/>
                <w:color w:val="auto"/>
                <w:kern w:val="0"/>
                <w:sz w:val="18"/>
                <w:szCs w:val="18"/>
                <w:highlight w:val="none"/>
                <w:u w:val="none"/>
                <w:lang w:val="en-US" w:eastAsia="zh-CN" w:bidi="ar"/>
              </w:rPr>
              <w:t>项目全年预算数9万元，执行数为9元，完成预算的100%。自评得分96分，通过项目的实施，促进非遗传承保护，提高对非遗的保护意识，唤起群人对传统文化的保护意识。促进白花石刻技艺提升发展，振兴传统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color w:val="auto"/>
                <w:sz w:val="20"/>
                <w:szCs w:val="20"/>
                <w:highlight w:val="none"/>
              </w:rPr>
              <w:t>绩效目标管理和调整有待完善。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color w:val="auto"/>
                <w:sz w:val="18"/>
                <w:szCs w:val="18"/>
                <w:highlight w:val="none"/>
              </w:rPr>
              <w:t>密切关注</w:t>
            </w:r>
            <w:r>
              <w:rPr>
                <w:rFonts w:hint="eastAsia"/>
                <w:color w:val="auto"/>
                <w:sz w:val="18"/>
                <w:szCs w:val="18"/>
                <w:highlight w:val="none"/>
                <w:lang w:val="en-US" w:eastAsia="zh-CN"/>
              </w:rPr>
              <w:t>项目的</w:t>
            </w:r>
            <w:r>
              <w:rPr>
                <w:color w:val="auto"/>
                <w:sz w:val="18"/>
                <w:szCs w:val="18"/>
                <w:highlight w:val="none"/>
              </w:rPr>
              <w:t>开展情况，确保实际工作</w:t>
            </w:r>
            <w:r>
              <w:rPr>
                <w:rFonts w:hint="eastAsia"/>
                <w:color w:val="auto"/>
                <w:sz w:val="18"/>
                <w:szCs w:val="18"/>
                <w:highlight w:val="none"/>
                <w:lang w:val="en-US" w:eastAsia="zh-CN"/>
              </w:rPr>
              <w:t>与</w:t>
            </w:r>
            <w:r>
              <w:rPr>
                <w:color w:val="auto"/>
                <w:sz w:val="18"/>
                <w:szCs w:val="18"/>
                <w:highlight w:val="none"/>
              </w:rPr>
              <w:t>绩效目标</w:t>
            </w:r>
            <w:r>
              <w:rPr>
                <w:rFonts w:hint="eastAsia"/>
                <w:color w:val="auto"/>
                <w:sz w:val="18"/>
                <w:szCs w:val="18"/>
                <w:highlight w:val="none"/>
                <w:lang w:val="en-US" w:eastAsia="zh-CN"/>
              </w:rPr>
              <w:t>吻合</w:t>
            </w:r>
            <w:r>
              <w:rPr>
                <w:color w:val="auto"/>
                <w:sz w:val="18"/>
                <w:szCs w:val="18"/>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nil"/>
              <w:left w:val="nil"/>
              <w:bottom w:val="nil"/>
              <w:right w:val="nil"/>
            </w:tcBorders>
            <w:noWrap w:val="0"/>
            <w:vAlign w:val="center"/>
          </w:tcPr>
          <w:p>
            <w:pPr>
              <w:pStyle w:val="2"/>
              <w:rPr>
                <w:rFonts w:hint="default"/>
                <w:color w:val="auto"/>
                <w:highlight w:val="none"/>
                <w:lang w:val="en-US"/>
              </w:rPr>
            </w:pPr>
            <w:r>
              <w:rPr>
                <w:rFonts w:hint="eastAsia" w:ascii="宋体" w:hAnsi="宋体" w:eastAsia="宋体" w:cs="宋体"/>
                <w:i w:val="0"/>
                <w:iCs w:val="0"/>
                <w:color w:val="auto"/>
                <w:sz w:val="24"/>
                <w:szCs w:val="24"/>
                <w:highlight w:val="none"/>
                <w:u w:val="none"/>
                <w:lang w:val="en-US" w:eastAsia="zh-CN"/>
              </w:rPr>
              <w:t>附件6</w:t>
            </w:r>
          </w:p>
        </w:tc>
        <w:tc>
          <w:tcPr>
            <w:tcW w:w="17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22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01"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55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17"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08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7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51080022T000005906335-非遗中心公用经费财返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sz w:val="18"/>
                <w:szCs w:val="18"/>
                <w:highlight w:val="none"/>
                <w:u w:val="none"/>
                <w:lang w:val="en-US" w:eastAsia="zh-CN"/>
              </w:rPr>
              <w:t>职工进行继续教育培训</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sz w:val="18"/>
                <w:szCs w:val="18"/>
                <w:highlight w:val="none"/>
                <w:u w:val="none"/>
                <w:lang w:val="en-US" w:eastAsia="zh-CN"/>
              </w:rPr>
              <w:t>圆满完成培训任务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sz w:val="18"/>
                <w:szCs w:val="18"/>
                <w:highlight w:val="none"/>
                <w:u w:val="none"/>
                <w:lang w:val="en-US" w:eastAsia="zh-CN"/>
              </w:rPr>
              <w:t>广元开放大学购买继续教育课程，对单位专业技术人员进行继续教育培训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0.04</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0.04</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0.04</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0.04</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产出指标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培训人数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人</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sz w:val="16"/>
                <w:szCs w:val="16"/>
                <w:highlight w:val="none"/>
                <w:u w:val="none"/>
                <w:lang w:val="en-US" w:eastAsia="zh-CN"/>
              </w:rPr>
              <w:t>5人</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40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38</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效益指标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专业能务提升</w:t>
            </w:r>
          </w:p>
        </w:tc>
        <w:tc>
          <w:tcPr>
            <w:tcW w:w="601"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定性</w:t>
            </w: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优良中低差</w:t>
            </w:r>
          </w:p>
        </w:tc>
        <w:tc>
          <w:tcPr>
            <w:tcW w:w="517"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　</w:t>
            </w: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宋体" w:hAnsi="宋体" w:cs="宋体"/>
                <w:color w:val="auto"/>
                <w:kern w:val="0"/>
                <w:sz w:val="18"/>
                <w:szCs w:val="18"/>
                <w:highlight w:val="none"/>
              </w:rPr>
              <w:t>优</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30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满意度指标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专业技术人员</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专业技术人员</w:t>
            </w:r>
          </w:p>
        </w:tc>
        <w:tc>
          <w:tcPr>
            <w:tcW w:w="601"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95</w:t>
            </w:r>
          </w:p>
        </w:tc>
        <w:tc>
          <w:tcPr>
            <w:tcW w:w="517"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082" w:type="dxa"/>
            <w:tcBorders>
              <w:top w:val="single" w:color="000000" w:sz="4" w:space="0"/>
              <w:left w:val="single" w:color="000000" w:sz="4" w:space="0"/>
              <w:bottom w:val="single" w:color="000000" w:sz="4" w:space="0"/>
              <w:right w:val="single" w:color="000000" w:sz="4" w:space="0"/>
            </w:tcBorders>
            <w:noWrap w:val="0"/>
            <w:vAlign w:val="top"/>
          </w:tcPr>
          <w:p>
            <w:pPr>
              <w:widowControl/>
              <w:jc w:val="left"/>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95</w:t>
            </w:r>
            <w:r>
              <w:rPr>
                <w:rFonts w:hint="eastAsia" w:ascii="宋体" w:hAnsi="宋体" w:cs="宋体"/>
                <w:color w:val="auto"/>
                <w:kern w:val="0"/>
                <w:sz w:val="18"/>
                <w:szCs w:val="18"/>
                <w:highlight w:val="none"/>
              </w:rPr>
              <w:t>%</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 xml:space="preserve">  97</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宋体"/>
                <w:color w:val="auto"/>
                <w:kern w:val="0"/>
                <w:sz w:val="18"/>
                <w:szCs w:val="18"/>
                <w:highlight w:val="none"/>
              </w:rPr>
              <w:t>项目全年预算数</w:t>
            </w:r>
            <w:r>
              <w:rPr>
                <w:rFonts w:hint="eastAsia" w:ascii="微软雅黑" w:hAnsi="微软雅黑" w:eastAsia="微软雅黑" w:cs="宋体"/>
                <w:color w:val="auto"/>
                <w:kern w:val="0"/>
                <w:sz w:val="18"/>
                <w:szCs w:val="18"/>
                <w:highlight w:val="none"/>
                <w:lang w:val="en-US" w:eastAsia="zh-CN"/>
              </w:rPr>
              <w:t>0.04</w:t>
            </w:r>
            <w:r>
              <w:rPr>
                <w:rFonts w:hint="eastAsia" w:ascii="微软雅黑" w:hAnsi="微软雅黑" w:eastAsia="微软雅黑" w:cs="宋体"/>
                <w:color w:val="auto"/>
                <w:kern w:val="0"/>
                <w:sz w:val="18"/>
                <w:szCs w:val="18"/>
                <w:highlight w:val="none"/>
              </w:rPr>
              <w:t>万元，执行数为</w:t>
            </w:r>
            <w:r>
              <w:rPr>
                <w:rFonts w:hint="eastAsia" w:ascii="微软雅黑" w:hAnsi="微软雅黑" w:eastAsia="微软雅黑" w:cs="宋体"/>
                <w:color w:val="auto"/>
                <w:kern w:val="0"/>
                <w:sz w:val="18"/>
                <w:szCs w:val="18"/>
                <w:highlight w:val="none"/>
                <w:lang w:val="en-US" w:eastAsia="zh-CN"/>
              </w:rPr>
              <w:t>0.04</w:t>
            </w:r>
            <w:r>
              <w:rPr>
                <w:rFonts w:hint="eastAsia" w:ascii="微软雅黑" w:hAnsi="微软雅黑" w:eastAsia="微软雅黑" w:cs="宋体"/>
                <w:color w:val="auto"/>
                <w:kern w:val="0"/>
                <w:sz w:val="18"/>
                <w:szCs w:val="18"/>
                <w:highlight w:val="none"/>
              </w:rPr>
              <w:t>元，完成预算的100%。自评得分</w:t>
            </w:r>
            <w:r>
              <w:rPr>
                <w:rFonts w:hint="eastAsia" w:ascii="微软雅黑" w:hAnsi="微软雅黑" w:eastAsia="微软雅黑" w:cs="宋体"/>
                <w:color w:val="auto"/>
                <w:kern w:val="0"/>
                <w:sz w:val="18"/>
                <w:szCs w:val="18"/>
                <w:highlight w:val="none"/>
                <w:lang w:val="en-US" w:eastAsia="zh-CN"/>
              </w:rPr>
              <w:t>97</w:t>
            </w:r>
            <w:r>
              <w:rPr>
                <w:rFonts w:hint="eastAsia" w:ascii="微软雅黑" w:hAnsi="微软雅黑" w:eastAsia="微软雅黑" w:cs="宋体"/>
                <w:color w:val="auto"/>
                <w:kern w:val="0"/>
                <w:sz w:val="18"/>
                <w:szCs w:val="18"/>
                <w:highlight w:val="none"/>
              </w:rPr>
              <w:t>分</w:t>
            </w:r>
            <w:r>
              <w:rPr>
                <w:rFonts w:hint="eastAsia" w:ascii="微软雅黑" w:hAnsi="微软雅黑" w:eastAsia="微软雅黑" w:cs="宋体"/>
                <w:color w:val="auto"/>
                <w:kern w:val="0"/>
                <w:sz w:val="18"/>
                <w:szCs w:val="18"/>
                <w:highlight w:val="none"/>
                <w:lang w:eastAsia="zh-CN"/>
              </w:rPr>
              <w:t>，</w:t>
            </w:r>
            <w:r>
              <w:rPr>
                <w:rFonts w:hint="eastAsia" w:ascii="微软雅黑" w:hAnsi="微软雅黑" w:eastAsia="微软雅黑" w:cs="宋体"/>
                <w:color w:val="auto"/>
                <w:kern w:val="0"/>
                <w:sz w:val="18"/>
                <w:szCs w:val="18"/>
                <w:highlight w:val="none"/>
                <w:lang w:val="en-US" w:eastAsia="zh-CN"/>
              </w:rPr>
              <w:t>通过项目的实施</w:t>
            </w:r>
            <w:r>
              <w:rPr>
                <w:rFonts w:hint="eastAsia" w:ascii="微软雅黑" w:hAnsi="微软雅黑" w:eastAsia="微软雅黑" w:cs="微软雅黑"/>
                <w:i/>
                <w:iCs/>
                <w:color w:val="auto"/>
                <w:sz w:val="16"/>
                <w:szCs w:val="16"/>
                <w:highlight w:val="none"/>
                <w:u w:val="none"/>
                <w:lang w:val="en-US" w:eastAsia="zh-CN"/>
              </w:rPr>
              <w:t>专业技术人员通过培训，提高专业能力水平，对非物质文化遗产保护和传承起到促进和推动作用。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微软雅黑"/>
                <w:i/>
                <w:iCs/>
                <w:color w:val="auto"/>
                <w:kern w:val="0"/>
                <w:sz w:val="16"/>
                <w:szCs w:val="16"/>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nil"/>
              <w:left w:val="nil"/>
              <w:bottom w:val="nil"/>
              <w:right w:val="nil"/>
            </w:tcBorders>
            <w:noWrap w:val="0"/>
            <w:vAlign w:val="center"/>
          </w:tcPr>
          <w:p>
            <w:pPr>
              <w:pStyle w:val="2"/>
              <w:rPr>
                <w:rFonts w:hint="default"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附件7</w:t>
            </w:r>
          </w:p>
        </w:tc>
        <w:tc>
          <w:tcPr>
            <w:tcW w:w="17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22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01"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55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17"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08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7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51080022T000007153693-文化和旅游发展专项资金-国家非物质文化遗产保护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组织开展非遗活动，开展非遗培训班，培养太素脉法学徒</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活动圆满完成，全年开展场培训，提升学徒的业务能力。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开展2期的脉法课程，理论和实践课，共计80个学时，培养学徒3人。通过对该项目的实施，促进脉法的传承与推广作用。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0.50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0.50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0.50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0.50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产出指标</w:t>
            </w:r>
          </w:p>
        </w:tc>
        <w:tc>
          <w:tcPr>
            <w:tcW w:w="1736"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非遗保护活动</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2</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 xml:space="preserve"> 场</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14</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p>
        </w:tc>
        <w:tc>
          <w:tcPr>
            <w:tcW w:w="173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培训人数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3</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人</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3</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14</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成本指标</w:t>
            </w:r>
          </w:p>
        </w:tc>
        <w:tc>
          <w:tcPr>
            <w:tcW w:w="1736"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经济成本指标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非遗活动</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0.3</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万元</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0.3</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p>
        </w:tc>
        <w:tc>
          <w:tcPr>
            <w:tcW w:w="1736"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非遗培训班</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0.2</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万元</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ind w:firstLine="160" w:firstLineChars="100"/>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0.2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效益指标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社会效益指标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传承及保护</w:t>
            </w:r>
          </w:p>
        </w:tc>
        <w:tc>
          <w:tcPr>
            <w:tcW w:w="601"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定性</w:t>
            </w: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优良中低差</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优</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满意度指标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lang w:val="en-US" w:eastAsia="zh-CN"/>
              </w:rPr>
              <w:t>传承人与群众满意度</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lang w:val="en-US" w:eastAsia="zh-CN"/>
              </w:rPr>
              <w:t>传承人与群众满意度</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95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95</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宋体"/>
                <w:color w:val="auto"/>
                <w:kern w:val="0"/>
                <w:sz w:val="18"/>
                <w:szCs w:val="18"/>
                <w:highlight w:val="none"/>
              </w:rPr>
              <w:t>项目全年预算数</w:t>
            </w:r>
            <w:r>
              <w:rPr>
                <w:rFonts w:hint="eastAsia" w:ascii="微软雅黑" w:hAnsi="微软雅黑" w:eastAsia="微软雅黑" w:cs="宋体"/>
                <w:color w:val="auto"/>
                <w:kern w:val="0"/>
                <w:sz w:val="18"/>
                <w:szCs w:val="18"/>
                <w:highlight w:val="none"/>
                <w:lang w:val="en-US" w:eastAsia="zh-CN"/>
              </w:rPr>
              <w:t>0.5</w:t>
            </w:r>
            <w:r>
              <w:rPr>
                <w:rFonts w:hint="eastAsia" w:ascii="微软雅黑" w:hAnsi="微软雅黑" w:eastAsia="微软雅黑" w:cs="宋体"/>
                <w:color w:val="auto"/>
                <w:kern w:val="0"/>
                <w:sz w:val="18"/>
                <w:szCs w:val="18"/>
                <w:highlight w:val="none"/>
              </w:rPr>
              <w:t>万元，执行数为</w:t>
            </w:r>
            <w:r>
              <w:rPr>
                <w:rFonts w:hint="eastAsia" w:ascii="微软雅黑" w:hAnsi="微软雅黑" w:eastAsia="微软雅黑" w:cs="宋体"/>
                <w:color w:val="auto"/>
                <w:kern w:val="0"/>
                <w:sz w:val="18"/>
                <w:szCs w:val="18"/>
                <w:highlight w:val="none"/>
                <w:lang w:val="en-US" w:eastAsia="zh-CN"/>
              </w:rPr>
              <w:t>0.5</w:t>
            </w:r>
            <w:r>
              <w:rPr>
                <w:rFonts w:hint="eastAsia" w:ascii="微软雅黑" w:hAnsi="微软雅黑" w:eastAsia="微软雅黑" w:cs="宋体"/>
                <w:color w:val="auto"/>
                <w:kern w:val="0"/>
                <w:sz w:val="18"/>
                <w:szCs w:val="18"/>
                <w:highlight w:val="none"/>
              </w:rPr>
              <w:t>元，完成预算的100%。自评得分9</w:t>
            </w:r>
            <w:r>
              <w:rPr>
                <w:rFonts w:hint="eastAsia" w:ascii="微软雅黑" w:hAnsi="微软雅黑" w:eastAsia="微软雅黑" w:cs="宋体"/>
                <w:color w:val="auto"/>
                <w:kern w:val="0"/>
                <w:sz w:val="18"/>
                <w:szCs w:val="18"/>
                <w:highlight w:val="none"/>
                <w:lang w:val="en-US" w:eastAsia="zh-CN"/>
              </w:rPr>
              <w:t>6</w:t>
            </w:r>
            <w:r>
              <w:rPr>
                <w:rFonts w:hint="eastAsia" w:ascii="微软雅黑" w:hAnsi="微软雅黑" w:eastAsia="微软雅黑" w:cs="宋体"/>
                <w:color w:val="auto"/>
                <w:kern w:val="0"/>
                <w:sz w:val="18"/>
                <w:szCs w:val="18"/>
                <w:highlight w:val="none"/>
              </w:rPr>
              <w:t>分</w:t>
            </w:r>
            <w:r>
              <w:rPr>
                <w:rFonts w:hint="eastAsia" w:ascii="微软雅黑" w:hAnsi="微软雅黑" w:eastAsia="微软雅黑" w:cs="宋体"/>
                <w:color w:val="auto"/>
                <w:kern w:val="0"/>
                <w:sz w:val="18"/>
                <w:szCs w:val="18"/>
                <w:highlight w:val="none"/>
                <w:lang w:eastAsia="zh-CN"/>
              </w:rPr>
              <w:t>，</w:t>
            </w:r>
            <w:r>
              <w:rPr>
                <w:rFonts w:hint="eastAsia" w:ascii="微软雅黑" w:hAnsi="微软雅黑" w:eastAsia="微软雅黑" w:cs="微软雅黑"/>
                <w:i/>
                <w:iCs/>
                <w:color w:val="auto"/>
                <w:sz w:val="16"/>
                <w:szCs w:val="16"/>
                <w:highlight w:val="none"/>
                <w:u w:val="none"/>
                <w:lang w:val="en-US" w:eastAsia="zh-CN"/>
              </w:rPr>
              <w:t>通过传承人开展活动、非遗培训等促进太素脉法传承和保护，利于传承人梯次培养。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微软雅黑"/>
                <w:i/>
                <w:iCs/>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微软雅黑"/>
                <w:i/>
                <w:iCs/>
                <w:color w:val="auto"/>
                <w:sz w:val="16"/>
                <w:szCs w:val="16"/>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nil"/>
              <w:left w:val="nil"/>
              <w:bottom w:val="nil"/>
              <w:right w:val="nil"/>
            </w:tcBorders>
            <w:noWrap w:val="0"/>
            <w:vAlign w:val="center"/>
          </w:tcPr>
          <w:p>
            <w:pPr>
              <w:pStyle w:val="2"/>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24"/>
                <w:szCs w:val="24"/>
                <w:highlight w:val="none"/>
                <w:u w:val="none"/>
                <w:lang w:val="en-US" w:eastAsia="zh-CN"/>
              </w:rPr>
              <w:t>附件8</w:t>
            </w:r>
          </w:p>
        </w:tc>
        <w:tc>
          <w:tcPr>
            <w:tcW w:w="17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22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01"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55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17"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08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7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51080022Y000000267568-定额公用经费（事业）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保障单位日常运转，提高预算编制质量，严格执行预算</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宋体" w:hAnsi="宋体" w:cs="宋体"/>
                <w:color w:val="auto"/>
                <w:kern w:val="0"/>
                <w:sz w:val="18"/>
                <w:szCs w:val="18"/>
                <w:highlight w:val="none"/>
              </w:rPr>
              <w:t>按</w:t>
            </w:r>
            <w:r>
              <w:rPr>
                <w:rFonts w:ascii="宋体" w:hAnsi="宋体" w:cs="宋体"/>
                <w:color w:val="auto"/>
                <w:kern w:val="0"/>
                <w:sz w:val="18"/>
                <w:szCs w:val="18"/>
                <w:highlight w:val="none"/>
              </w:rPr>
              <w:t>相关政策，</w:t>
            </w:r>
            <w:r>
              <w:rPr>
                <w:rFonts w:hint="eastAsia" w:ascii="宋体" w:hAnsi="宋体" w:cs="宋体"/>
                <w:color w:val="auto"/>
                <w:kern w:val="0"/>
                <w:sz w:val="18"/>
                <w:szCs w:val="18"/>
                <w:highlight w:val="none"/>
              </w:rPr>
              <w:t>提高预算编制质量，保障单位日常运转，严格执行预算。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r>
              <w:rPr>
                <w:rFonts w:hint="eastAsia" w:ascii="宋体" w:hAnsi="宋体" w:cs="宋体"/>
                <w:color w:val="auto"/>
                <w:kern w:val="0"/>
                <w:sz w:val="18"/>
                <w:szCs w:val="18"/>
                <w:highlight w:val="none"/>
              </w:rPr>
              <w:t>保障单位日常运转，严格执行预算。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7.20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7.18</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7.18</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r>
              <w:rPr>
                <w:rFonts w:hint="eastAsia" w:ascii="仿宋_GB2312" w:hAnsi="Courier New" w:eastAsia="仿宋_GB2312" w:cs="Courier New"/>
                <w:iCs/>
                <w:color w:val="auto"/>
                <w:kern w:val="0"/>
                <w:sz w:val="20"/>
                <w:szCs w:val="20"/>
                <w:highlight w:val="none"/>
              </w:rPr>
              <w:t>按财政相关政策，追减“三公”经费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7.20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7.18</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7.18</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产出指标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科目调整次数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21.5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质量指标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预算编制准确率（计算方法为：∣（执行数-预算数）/预算数∣）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21.5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效益指标</w:t>
            </w:r>
          </w:p>
        </w:tc>
        <w:tc>
          <w:tcPr>
            <w:tcW w:w="17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经济效益指标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“三公经费”控制率[计算方法为：（三公经费实际支出数/预算安排数]×100%）</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2.15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运转保障率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22.5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97</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仿宋_GB2312" w:hAnsi="微软雅黑" w:eastAsia="仿宋_GB2312" w:cs="宋体"/>
                <w:iCs/>
                <w:color w:val="auto"/>
                <w:kern w:val="0"/>
                <w:sz w:val="20"/>
                <w:szCs w:val="20"/>
                <w:highlight w:val="none"/>
              </w:rPr>
              <w:t>本单位按要求对2022年部门项目支出开展绩效自评，从评价情况来看我单位支出绩效评价自查自评结果良好，保证了单位的基本正常运转，绩效目标得到较好实现，绩效管理水平不断提高，绩效指标体系逐渐丰富和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微软雅黑" w:hAnsi="微软雅黑" w:eastAsia="微软雅黑" w:cs="微软雅黑"/>
                <w:i/>
                <w:iCs/>
                <w:color w:val="auto"/>
                <w:sz w:val="16"/>
                <w:szCs w:val="16"/>
                <w:highlight w:val="none"/>
                <w:u w:val="none"/>
              </w:rPr>
            </w:pPr>
            <w:r>
              <w:rPr>
                <w:rFonts w:hint="eastAsia" w:ascii="仿宋_GB2312" w:hAnsi="微软雅黑" w:eastAsia="仿宋_GB2312" w:cs="宋体"/>
                <w:iCs/>
                <w:color w:val="auto"/>
                <w:kern w:val="0"/>
                <w:szCs w:val="21"/>
                <w:highlight w:val="none"/>
              </w:rPr>
              <w:t>经济科目预算编制不够精准。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微软雅黑" w:hAnsi="微软雅黑" w:eastAsia="微软雅黑" w:cs="微软雅黑"/>
                <w:i/>
                <w:iCs/>
                <w:color w:val="auto"/>
                <w:sz w:val="16"/>
                <w:szCs w:val="16"/>
                <w:highlight w:val="none"/>
                <w:u w:val="none"/>
              </w:rPr>
            </w:pPr>
            <w:r>
              <w:rPr>
                <w:rFonts w:hint="eastAsia" w:ascii="仿宋_GB2312" w:hAnsi="微软雅黑" w:eastAsia="仿宋_GB2312" w:cs="宋体"/>
                <w:iCs/>
                <w:color w:val="auto"/>
                <w:kern w:val="0"/>
                <w:szCs w:val="21"/>
                <w:highlight w:val="none"/>
              </w:rPr>
              <w:t>根据以往年度支出情况，提高预算编制质量，严格按预算执行。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nil"/>
              <w:left w:val="nil"/>
              <w:bottom w:val="nil"/>
              <w:right w:val="nil"/>
            </w:tcBorders>
            <w:noWrap w:val="0"/>
            <w:vAlign w:val="center"/>
          </w:tcPr>
          <w:p>
            <w:pPr>
              <w:pStyle w:val="2"/>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24"/>
                <w:szCs w:val="24"/>
                <w:highlight w:val="none"/>
                <w:u w:val="none"/>
                <w:lang w:val="en-US" w:eastAsia="zh-CN"/>
              </w:rPr>
              <w:t>附件9</w:t>
            </w:r>
          </w:p>
        </w:tc>
        <w:tc>
          <w:tcPr>
            <w:tcW w:w="17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22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01"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55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17"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08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7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51080023R000007612345-规范后市级基础绩效奖及生活补助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r>
              <w:rPr>
                <w:rFonts w:hint="eastAsia" w:ascii="宋体" w:hAnsi="宋体" w:cs="宋体"/>
                <w:color w:val="auto"/>
                <w:kern w:val="0"/>
                <w:sz w:val="18"/>
                <w:szCs w:val="18"/>
                <w:highlight w:val="none"/>
              </w:rPr>
              <w:t>严格执行相关政策，保障工资及时发放、足额发放，预算编制科学合理，减少结余资金</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ascii="Courier New" w:hAnsi="Courier New" w:cs="Courier New"/>
                <w:color w:val="auto"/>
                <w:kern w:val="0"/>
                <w:sz w:val="18"/>
                <w:szCs w:val="18"/>
                <w:highlight w:val="none"/>
              </w:rPr>
              <w:t>严格执行相关政策，保障工资及时发放、足额发放，无结余资金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r>
              <w:rPr>
                <w:rFonts w:hint="eastAsia" w:ascii="宋体" w:hAnsi="宋体" w:cs="宋体"/>
                <w:color w:val="auto"/>
                <w:kern w:val="0"/>
                <w:sz w:val="18"/>
                <w:szCs w:val="18"/>
                <w:highlight w:val="none"/>
              </w:rPr>
              <w:t>每月按严格执行相关政策，保障规范后市级基础绩效奖及生活补助及时发放、足额发放。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5.47</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5.47</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r>
              <w:rPr>
                <w:rFonts w:hint="eastAsia" w:ascii="黑体" w:hAnsi="黑体" w:eastAsia="黑体" w:cs="黑体"/>
                <w:i/>
                <w:iCs/>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5.47</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5.47</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产出指标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科目调整次数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微软雅黑" w:hAnsi="微软雅黑" w:eastAsia="微软雅黑" w:cs="宋体"/>
                <w:i/>
                <w:iCs/>
                <w:color w:val="auto"/>
                <w:kern w:val="0"/>
                <w:sz w:val="16"/>
                <w:szCs w:val="16"/>
                <w:highlight w:val="none"/>
                <w:lang w:val="en-US" w:eastAsia="zh-CN" w:bidi="ar-SA"/>
              </w:rPr>
            </w:pPr>
            <w:r>
              <w:rPr>
                <w:rFonts w:hint="eastAsia" w:ascii="微软雅黑" w:hAnsi="微软雅黑" w:eastAsia="微软雅黑" w:cs="宋体"/>
                <w:i/>
                <w:iCs/>
                <w:color w:val="auto"/>
                <w:kern w:val="0"/>
                <w:sz w:val="16"/>
                <w:szCs w:val="16"/>
                <w:highlight w:val="none"/>
              </w:rPr>
              <w:t>1</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22.5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足额保障率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100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微软雅黑" w:hAnsi="微软雅黑" w:eastAsia="微软雅黑" w:cs="宋体"/>
                <w:i/>
                <w:iCs/>
                <w:color w:val="auto"/>
                <w:kern w:val="0"/>
                <w:sz w:val="16"/>
                <w:szCs w:val="16"/>
                <w:highlight w:val="none"/>
                <w:lang w:val="en-US" w:eastAsia="zh-CN" w:bidi="ar-SA"/>
              </w:rPr>
            </w:pPr>
            <w:r>
              <w:rPr>
                <w:rFonts w:hint="eastAsia" w:ascii="微软雅黑" w:hAnsi="微软雅黑" w:eastAsia="微软雅黑" w:cs="宋体"/>
                <w:i/>
                <w:iCs/>
                <w:color w:val="auto"/>
                <w:kern w:val="0"/>
                <w:sz w:val="16"/>
                <w:szCs w:val="16"/>
                <w:highlight w:val="none"/>
              </w:rPr>
              <w:t>100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22.5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时效指标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按时发放率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100</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微软雅黑" w:hAnsi="微软雅黑" w:eastAsia="微软雅黑" w:cs="宋体"/>
                <w:i/>
                <w:iCs/>
                <w:color w:val="auto"/>
                <w:kern w:val="0"/>
                <w:sz w:val="16"/>
                <w:szCs w:val="16"/>
                <w:highlight w:val="none"/>
                <w:lang w:val="en-US" w:eastAsia="zh-CN" w:bidi="ar-SA"/>
              </w:rPr>
            </w:pPr>
            <w:r>
              <w:rPr>
                <w:rFonts w:hint="eastAsia" w:ascii="微软雅黑" w:hAnsi="微软雅黑" w:eastAsia="微软雅黑" w:cs="宋体"/>
                <w:i/>
                <w:iCs/>
                <w:color w:val="auto"/>
                <w:kern w:val="0"/>
                <w:sz w:val="16"/>
                <w:szCs w:val="16"/>
                <w:highlight w:val="none"/>
              </w:rPr>
              <w:t>100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22.5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效益指标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经济效益指标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结余率（计算方法为：结余数/预算数）</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微软雅黑" w:hAnsi="微软雅黑" w:eastAsia="微软雅黑" w:cs="宋体"/>
                <w:i/>
                <w:iCs/>
                <w:color w:val="auto"/>
                <w:kern w:val="0"/>
                <w:sz w:val="16"/>
                <w:szCs w:val="16"/>
                <w:highlight w:val="none"/>
                <w:lang w:val="en-US" w:eastAsia="zh-CN" w:bidi="ar-SA"/>
              </w:rPr>
            </w:pPr>
            <w:r>
              <w:rPr>
                <w:rFonts w:hint="eastAsia" w:ascii="微软雅黑" w:hAnsi="微软雅黑" w:eastAsia="微软雅黑" w:cs="宋体"/>
                <w:i/>
                <w:iCs/>
                <w:color w:val="auto"/>
                <w:kern w:val="0"/>
                <w:sz w:val="16"/>
                <w:szCs w:val="16"/>
                <w:highlight w:val="none"/>
              </w:rPr>
              <w:t>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22.5</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22.5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仿宋_GB2312" w:hAnsi="宋体" w:eastAsia="仿宋_GB2312" w:cs="宋体"/>
                <w:color w:val="auto"/>
                <w:kern w:val="0"/>
                <w:sz w:val="20"/>
                <w:szCs w:val="20"/>
                <w:highlight w:val="none"/>
              </w:rPr>
              <w:t>本单位按要求对2022年部门项目支出开展绩效自评，从评价情况来看我单位项目支出绩效评价自查自评结果良好，全年基本支出保障规范后市级基础绩效奖及生活补助及时发放、足额发放，绩效目标得到较好实现，绩效管理水平不断提高，绩效指标体系逐渐丰富和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宋体"/>
                <w:i/>
                <w:iCs/>
                <w:color w:val="auto"/>
                <w:kern w:val="0"/>
                <w:sz w:val="16"/>
                <w:szCs w:val="16"/>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宋体"/>
                <w:i/>
                <w:iCs/>
                <w:color w:val="auto"/>
                <w:kern w:val="0"/>
                <w:sz w:val="16"/>
                <w:szCs w:val="16"/>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nil"/>
              <w:left w:val="nil"/>
              <w:bottom w:val="nil"/>
              <w:right w:val="nil"/>
            </w:tcBorders>
            <w:noWrap w:val="0"/>
            <w:vAlign w:val="center"/>
          </w:tcPr>
          <w:p>
            <w:pPr>
              <w:pStyle w:val="2"/>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24"/>
                <w:szCs w:val="24"/>
                <w:highlight w:val="none"/>
                <w:u w:val="none"/>
                <w:lang w:val="en-US" w:eastAsia="zh-CN"/>
              </w:rPr>
              <w:t>附件10</w:t>
            </w:r>
          </w:p>
        </w:tc>
        <w:tc>
          <w:tcPr>
            <w:tcW w:w="17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22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01"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55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17"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08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7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51080023T000008622705-公共文化服务体系建设上级补助资金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iCs w:val="0"/>
                <w:color w:val="auto"/>
                <w:sz w:val="18"/>
                <w:szCs w:val="18"/>
                <w:highlight w:val="none"/>
                <w:u w:val="none"/>
                <w:lang w:val="en-US" w:eastAsia="zh-CN"/>
              </w:rPr>
            </w:pPr>
            <w:r>
              <w:rPr>
                <w:rFonts w:hint="eastAsia" w:ascii="黑体" w:hAnsi="黑体" w:eastAsia="黑体" w:cs="黑体"/>
                <w:i w:val="0"/>
                <w:iCs w:val="0"/>
                <w:color w:val="auto"/>
                <w:kern w:val="0"/>
                <w:sz w:val="18"/>
                <w:szCs w:val="18"/>
                <w:highlight w:val="none"/>
                <w:u w:val="none"/>
                <w:lang w:val="en-US" w:eastAsia="zh-CN" w:bidi="ar"/>
              </w:rPr>
              <w:t>“文化进万家、视频直播家乡年”非遗宣传展示活动</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eastAsia="zh-CN"/>
              </w:rPr>
            </w:pPr>
            <w:r>
              <w:rPr>
                <w:rFonts w:hint="eastAsia" w:ascii="黑体" w:hAnsi="黑体" w:eastAsia="黑体" w:cs="黑体"/>
                <w:i w:val="0"/>
                <w:iCs w:val="0"/>
                <w:color w:val="auto"/>
                <w:sz w:val="18"/>
                <w:szCs w:val="18"/>
                <w:highlight w:val="none"/>
                <w:u w:val="none"/>
                <w:lang w:val="en-US" w:eastAsia="zh-CN"/>
              </w:rPr>
              <w:t>圆满完成直播，视频拍摄家乡过年一系列的非遗展示活动，扩大宣传面，对非遗传承保护起促进作用。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过年时一系列的非遗展演、展示活动，通过直播和视频拍摄来宣传家乡过年时热闹的气氛。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1.50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1.50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产出指标</w:t>
            </w:r>
          </w:p>
        </w:tc>
        <w:tc>
          <w:tcPr>
            <w:tcW w:w="173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展演项目</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次</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5</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展示项目</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12</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项</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12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直播时长</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2</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小时</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2</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视频时长</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3</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分钟</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3</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效益指标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社会效益指标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非遗更好的传承和保护</w:t>
            </w:r>
            <w:r>
              <w:rPr>
                <w:rFonts w:hint="eastAsia" w:ascii="宋体" w:hAnsi="宋体" w:eastAsia="宋体" w:cs="宋体"/>
                <w:i w:val="0"/>
                <w:iCs w:val="0"/>
                <w:color w:val="auto"/>
                <w:kern w:val="0"/>
                <w:sz w:val="18"/>
                <w:szCs w:val="18"/>
                <w:highlight w:val="none"/>
                <w:u w:val="none"/>
                <w:lang w:val="en-US" w:eastAsia="zh-CN" w:bidi="ar"/>
              </w:rPr>
              <w:t>、宣传家乡过年热闹氛围</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定性</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优良中低差</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优</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满意度指标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服务对象满意度指标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群众、传承人</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95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ascii="宋体" w:hAnsi="宋体" w:eastAsia="宋体" w:cs="宋体"/>
                <w:i w:val="0"/>
                <w:iCs w:val="0"/>
                <w:color w:val="auto"/>
                <w:kern w:val="0"/>
                <w:sz w:val="18"/>
                <w:szCs w:val="18"/>
                <w:highlight w:val="none"/>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95</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成本指标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经济成本指标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 xml:space="preserve">    视频拍摄宣传经费</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1.5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0"/>
                <w:sz w:val="18"/>
                <w:szCs w:val="18"/>
                <w:highlight w:val="none"/>
                <w:u w:val="none"/>
                <w:lang w:val="en-US" w:eastAsia="zh-CN" w:bidi="ar"/>
              </w:rPr>
              <w:t>万</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kern w:val="2"/>
                <w:sz w:val="16"/>
                <w:szCs w:val="16"/>
                <w:highlight w:val="none"/>
                <w:u w:val="none"/>
                <w:lang w:val="en-US" w:eastAsia="zh-CN" w:bidi="ar-SA"/>
              </w:rPr>
            </w:pPr>
            <w:r>
              <w:rPr>
                <w:rFonts w:hint="eastAsia" w:ascii="微软雅黑" w:hAnsi="微软雅黑" w:eastAsia="微软雅黑" w:cs="微软雅黑"/>
                <w:i/>
                <w:iCs/>
                <w:color w:val="auto"/>
                <w:kern w:val="2"/>
                <w:sz w:val="16"/>
                <w:szCs w:val="16"/>
                <w:highlight w:val="none"/>
                <w:u w:val="none"/>
                <w:lang w:val="en-US" w:eastAsia="zh-CN" w:bidi="ar-SA"/>
              </w:rPr>
              <w:t>1.5</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iCs/>
                <w:color w:val="auto"/>
                <w:sz w:val="16"/>
                <w:szCs w:val="16"/>
                <w:highlight w:val="none"/>
                <w:u w:val="none"/>
                <w:lang w:val="en-US"/>
              </w:rPr>
            </w:pPr>
            <w:r>
              <w:rPr>
                <w:rFonts w:hint="eastAsia" w:ascii="微软雅黑" w:hAnsi="微软雅黑" w:eastAsia="微软雅黑" w:cs="宋体"/>
                <w:color w:val="auto"/>
                <w:kern w:val="0"/>
                <w:sz w:val="18"/>
                <w:szCs w:val="18"/>
                <w:highlight w:val="none"/>
              </w:rPr>
              <w:t>项</w:t>
            </w:r>
            <w:r>
              <w:rPr>
                <w:rFonts w:hint="eastAsia" w:ascii="宋体" w:hAnsi="宋体" w:eastAsia="宋体" w:cs="宋体"/>
                <w:color w:val="auto"/>
                <w:kern w:val="0"/>
                <w:sz w:val="18"/>
                <w:szCs w:val="18"/>
                <w:highlight w:val="none"/>
              </w:rPr>
              <w:t>目全年预算数</w:t>
            </w:r>
            <w:r>
              <w:rPr>
                <w:rFonts w:hint="eastAsia" w:ascii="宋体" w:hAnsi="宋体" w:eastAsia="宋体" w:cs="宋体"/>
                <w:color w:val="auto"/>
                <w:kern w:val="0"/>
                <w:sz w:val="18"/>
                <w:szCs w:val="18"/>
                <w:highlight w:val="none"/>
                <w:lang w:val="en-US" w:eastAsia="zh-CN"/>
              </w:rPr>
              <w:t>1.5</w:t>
            </w:r>
            <w:r>
              <w:rPr>
                <w:rFonts w:hint="eastAsia" w:ascii="宋体" w:hAnsi="宋体" w:eastAsia="宋体" w:cs="宋体"/>
                <w:color w:val="auto"/>
                <w:kern w:val="0"/>
                <w:sz w:val="18"/>
                <w:szCs w:val="18"/>
                <w:highlight w:val="none"/>
              </w:rPr>
              <w:t>万元，执行数为</w:t>
            </w:r>
            <w:r>
              <w:rPr>
                <w:rFonts w:hint="eastAsia" w:ascii="宋体" w:hAnsi="宋体" w:eastAsia="宋体" w:cs="宋体"/>
                <w:color w:val="auto"/>
                <w:kern w:val="0"/>
                <w:sz w:val="18"/>
                <w:szCs w:val="18"/>
                <w:highlight w:val="none"/>
                <w:lang w:val="en-US" w:eastAsia="zh-CN"/>
              </w:rPr>
              <w:t>1.5</w:t>
            </w:r>
            <w:r>
              <w:rPr>
                <w:rFonts w:hint="eastAsia" w:ascii="宋体" w:hAnsi="宋体" w:eastAsia="宋体" w:cs="宋体"/>
                <w:color w:val="auto"/>
                <w:kern w:val="0"/>
                <w:sz w:val="18"/>
                <w:szCs w:val="18"/>
                <w:highlight w:val="none"/>
              </w:rPr>
              <w:t>元，完成预算的100%。自评得分9</w:t>
            </w:r>
            <w:r>
              <w:rPr>
                <w:rFonts w:hint="eastAsia" w:ascii="宋体" w:hAnsi="宋体" w:eastAsia="宋体" w:cs="宋体"/>
                <w:color w:val="auto"/>
                <w:kern w:val="0"/>
                <w:sz w:val="18"/>
                <w:szCs w:val="18"/>
                <w:highlight w:val="none"/>
                <w:lang w:val="en-US" w:eastAsia="zh-CN"/>
              </w:rPr>
              <w:t>6</w:t>
            </w:r>
            <w:r>
              <w:rPr>
                <w:rFonts w:hint="eastAsia" w:ascii="宋体" w:hAnsi="宋体" w:eastAsia="宋体" w:cs="宋体"/>
                <w:color w:val="auto"/>
                <w:kern w:val="0"/>
                <w:sz w:val="18"/>
                <w:szCs w:val="18"/>
                <w:highlight w:val="none"/>
              </w:rPr>
              <w:t>分</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通过活动，提升民众的参与感和获得感、促进非遗工作的开展，对非遗项目有效的传承和保护，唤起保护传统文化的意识。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color w:val="auto"/>
                <w:sz w:val="20"/>
                <w:szCs w:val="20"/>
                <w:highlight w:val="none"/>
              </w:rPr>
              <w:t>绩效目标管理和调整有待完善。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经费支出按照编制预算执行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color w:val="auto"/>
                <w:highlight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nil"/>
              <w:left w:val="nil"/>
              <w:bottom w:val="nil"/>
              <w:right w:val="nil"/>
            </w:tcBorders>
            <w:noWrap w:val="0"/>
            <w:vAlign w:val="center"/>
          </w:tcPr>
          <w:p>
            <w:pPr>
              <w:pStyle w:val="2"/>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sz w:val="24"/>
                <w:szCs w:val="24"/>
                <w:highlight w:val="none"/>
                <w:u w:val="none"/>
                <w:lang w:val="en-US" w:eastAsia="zh-CN"/>
              </w:rPr>
              <w:t>附件11</w:t>
            </w:r>
          </w:p>
        </w:tc>
        <w:tc>
          <w:tcPr>
            <w:tcW w:w="17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22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01"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55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17"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1082"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57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636"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c>
          <w:tcPr>
            <w:tcW w:w="2495" w:type="dxa"/>
            <w:tcBorders>
              <w:top w:val="nil"/>
              <w:left w:val="nil"/>
              <w:bottom w:val="nil"/>
              <w:right w:val="nil"/>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14100"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30"/>
                <w:szCs w:val="30"/>
                <w:highlight w:val="none"/>
                <w:u w:val="none"/>
              </w:rPr>
            </w:pPr>
            <w:r>
              <w:rPr>
                <w:rFonts w:hint="eastAsia" w:ascii="黑体" w:hAnsi="宋体" w:eastAsia="黑体" w:cs="黑体"/>
                <w:b/>
                <w:bCs/>
                <w:i w:val="0"/>
                <w:iCs w:val="0"/>
                <w:color w:val="auto"/>
                <w:kern w:val="0"/>
                <w:sz w:val="30"/>
                <w:szCs w:val="30"/>
                <w:highlight w:val="none"/>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项目名称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51080023T000008784671-非遗传承人抢救性保护记录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主管部门</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广元市文化广播电视和旅游局部门</w:t>
            </w:r>
          </w:p>
        </w:tc>
        <w:tc>
          <w:tcPr>
            <w:tcW w:w="1082"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实施单位 （盖章）</w:t>
            </w:r>
          </w:p>
        </w:tc>
        <w:tc>
          <w:tcPr>
            <w:tcW w:w="37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广元市非物质文化遗产保护中心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项目基本情况</w:t>
            </w:r>
          </w:p>
        </w:tc>
        <w:tc>
          <w:tcPr>
            <w:tcW w:w="2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1.项目年度目标完成情况</w:t>
            </w: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项目年度目标</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highlight w:val="none"/>
                <w:u w:val="none"/>
              </w:rPr>
            </w:pPr>
            <w:r>
              <w:rPr>
                <w:rFonts w:hint="eastAsia" w:ascii="黑体" w:hAnsi="黑体" w:eastAsia="黑体" w:cs="黑体"/>
                <w:i w:val="0"/>
                <w:iCs w:val="0"/>
                <w:color w:val="auto"/>
                <w:kern w:val="0"/>
                <w:sz w:val="18"/>
                <w:szCs w:val="18"/>
                <w:highlight w:val="none"/>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6632"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对白龙花灯省级非遗传承人全面、真实、系统记录</w:t>
            </w:r>
          </w:p>
        </w:tc>
        <w:tc>
          <w:tcPr>
            <w:tcW w:w="478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auto"/>
                <w:sz w:val="18"/>
                <w:szCs w:val="18"/>
                <w:highlight w:val="none"/>
                <w:u w:val="none"/>
              </w:rPr>
            </w:pPr>
            <w:r>
              <w:rPr>
                <w:rFonts w:hint="eastAsia" w:ascii="宋体" w:hAnsi="宋体" w:eastAsia="宋体" w:cs="宋体"/>
                <w:i w:val="0"/>
                <w:iCs w:val="0"/>
                <w:color w:val="auto"/>
                <w:sz w:val="18"/>
                <w:szCs w:val="18"/>
                <w:highlight w:val="none"/>
                <w:u w:val="none"/>
                <w:lang w:val="en-US" w:eastAsia="zh-CN"/>
              </w:rPr>
              <w:t>白龙花灯省级传承人抢救性纪录工程已通过验收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2.项目实施内容及过程概述</w:t>
            </w:r>
          </w:p>
        </w:tc>
        <w:tc>
          <w:tcPr>
            <w:tcW w:w="11421" w:type="dxa"/>
            <w:gridSpan w:val="9"/>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rPr>
                <w:rFonts w:hint="eastAsia" w:ascii="宋体" w:hAnsi="宋体" w:eastAsia="宋体" w:cs="宋体"/>
                <w:i w:val="0"/>
                <w:iCs w:val="0"/>
                <w:color w:val="auto"/>
                <w:sz w:val="18"/>
                <w:szCs w:val="18"/>
                <w:highlight w:val="none"/>
                <w:u w:val="none"/>
                <w:lang w:eastAsia="zh-CN"/>
              </w:rPr>
            </w:pPr>
            <w:r>
              <w:rPr>
                <w:rFonts w:hint="eastAsia" w:ascii="宋体" w:hAnsi="宋体" w:eastAsia="宋体" w:cs="宋体"/>
                <w:i w:val="0"/>
                <w:iCs w:val="0"/>
                <w:color w:val="auto"/>
                <w:sz w:val="18"/>
                <w:szCs w:val="18"/>
                <w:highlight w:val="none"/>
                <w:u w:val="none"/>
                <w:lang w:val="en-US" w:eastAsia="zh-CN"/>
              </w:rPr>
              <w:t>白龙花灯——袁朝汉、王明、母光信三个省级非遗项目的视频拍摄、文献资料采集工作；完成了综述片、口述片、实践片、教学片及文献收集整理的工作，文献收集。纸质文献数量59件；实物文献88件；音像、电子文献共计57件；成片共计104部。</w:t>
            </w:r>
          </w:p>
        </w:tc>
      </w:tr>
      <w:tr>
        <w:tblPrEx>
          <w:tblCellMar>
            <w:top w:w="0" w:type="dxa"/>
            <w:left w:w="108" w:type="dxa"/>
            <w:bottom w:w="0" w:type="dxa"/>
            <w:right w:w="108" w:type="dxa"/>
          </w:tblCellMar>
        </w:tblPrEx>
        <w:trPr>
          <w:trHeight w:val="361"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预算执行情况（10分）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年度预算数（万元）</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年初预算</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调整后预算数</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预算执行数</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预算执行率</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总额</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11.86</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11.86</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4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其中：财政资金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11.86</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11.86</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财政专户管理资金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单位资金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0.00%</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其他资金</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267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w:t>
            </w:r>
          </w:p>
        </w:tc>
        <w:tc>
          <w:tcPr>
            <w:tcW w:w="249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绩效指标（90分）</w:t>
            </w: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一级指标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二级指标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三级指标</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指标性质</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指标值</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度量单位</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完成值</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权重</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得分</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产出指标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数量指标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白龙花灯省级传承人</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3</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人</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3</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时效指标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完成时间</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1</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年</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1</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成本指标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白摄视频资料</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8.86</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万</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8.86</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制作文本资料</w:t>
            </w:r>
          </w:p>
        </w:tc>
        <w:tc>
          <w:tcPr>
            <w:tcW w:w="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3</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万</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3</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20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效益指标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社会效益指标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传承及保护</w:t>
            </w:r>
          </w:p>
        </w:tc>
        <w:tc>
          <w:tcPr>
            <w:tcW w:w="601"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定性</w:t>
            </w: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rPr>
              <w:t>优良中低差</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优</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2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满意度指标</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color w:val="auto"/>
                <w:kern w:val="0"/>
                <w:sz w:val="18"/>
                <w:szCs w:val="18"/>
                <w:highlight w:val="none"/>
                <w:lang w:val="en-US" w:eastAsia="zh-CN"/>
              </w:rPr>
              <w:t>专家</w:t>
            </w:r>
            <w:r>
              <w:rPr>
                <w:rFonts w:hint="eastAsia" w:ascii="宋体" w:hAnsi="宋体" w:cs="宋体"/>
                <w:color w:val="auto"/>
                <w:kern w:val="0"/>
                <w:sz w:val="18"/>
                <w:szCs w:val="18"/>
                <w:highlight w:val="none"/>
              </w:rPr>
              <w:t>满意度指标</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kern w:val="2"/>
                <w:sz w:val="18"/>
                <w:szCs w:val="18"/>
                <w:highlight w:val="none"/>
                <w:u w:val="none"/>
                <w:lang w:val="en-US" w:eastAsia="zh-CN" w:bidi="ar-SA"/>
              </w:rPr>
            </w:pPr>
            <w:r>
              <w:rPr>
                <w:rFonts w:hint="eastAsia" w:ascii="宋体" w:hAnsi="宋体" w:cs="宋体"/>
                <w:i w:val="0"/>
                <w:iCs w:val="0"/>
                <w:color w:val="auto"/>
                <w:sz w:val="18"/>
                <w:szCs w:val="18"/>
                <w:highlight w:val="none"/>
                <w:u w:val="none"/>
                <w:lang w:val="en-US" w:eastAsia="zh-CN"/>
              </w:rPr>
              <w:t>专家满意度指标</w:t>
            </w:r>
          </w:p>
        </w:tc>
        <w:tc>
          <w:tcPr>
            <w:tcW w:w="601"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155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95</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w:t>
            </w:r>
          </w:p>
        </w:tc>
        <w:tc>
          <w:tcPr>
            <w:tcW w:w="10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iCs/>
                <w:color w:val="auto"/>
                <w:sz w:val="16"/>
                <w:szCs w:val="16"/>
                <w:highlight w:val="none"/>
                <w:u w:val="none"/>
                <w:lang w:val="en-US" w:eastAsia="zh-CN"/>
              </w:rPr>
            </w:pPr>
            <w:r>
              <w:rPr>
                <w:rFonts w:hint="eastAsia" w:ascii="微软雅黑" w:hAnsi="微软雅黑" w:eastAsia="微软雅黑" w:cs="微软雅黑"/>
                <w:i/>
                <w:iCs/>
                <w:color w:val="auto"/>
                <w:sz w:val="16"/>
                <w:szCs w:val="16"/>
                <w:highlight w:val="none"/>
                <w:u w:val="none"/>
                <w:lang w:val="en-US" w:eastAsia="zh-CN"/>
              </w:rPr>
              <w:t>95</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10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3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合计</w:t>
            </w:r>
          </w:p>
        </w:tc>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100</w:t>
            </w:r>
          </w:p>
        </w:tc>
        <w:tc>
          <w:tcPr>
            <w:tcW w:w="636" w:type="dxa"/>
            <w:tcBorders>
              <w:top w:val="single" w:color="000000" w:sz="4" w:space="0"/>
              <w:left w:val="single" w:color="000000" w:sz="4" w:space="0"/>
              <w:bottom w:val="single" w:color="000000" w:sz="4" w:space="0"/>
              <w:right w:val="single" w:color="000000" w:sz="4" w:space="0"/>
            </w:tcBorders>
            <w:noWrap w:val="0"/>
            <w:vAlign w:val="center"/>
          </w:tcPr>
          <w:p>
            <w:pPr>
              <w:ind w:firstLine="180" w:firstLineChars="100"/>
              <w:rPr>
                <w:rFonts w:hint="default" w:ascii="宋体" w:hAnsi="宋体" w:eastAsia="宋体" w:cs="宋体"/>
                <w:i w:val="0"/>
                <w:iCs w:val="0"/>
                <w:color w:val="auto"/>
                <w:sz w:val="18"/>
                <w:szCs w:val="18"/>
                <w:highlight w:val="none"/>
                <w:u w:val="none"/>
                <w:lang w:val="en-US" w:eastAsia="zh-CN"/>
              </w:rPr>
            </w:pPr>
            <w:r>
              <w:rPr>
                <w:rFonts w:hint="eastAsia" w:ascii="宋体" w:hAnsi="宋体" w:cs="宋体"/>
                <w:i w:val="0"/>
                <w:iCs w:val="0"/>
                <w:color w:val="auto"/>
                <w:sz w:val="18"/>
                <w:szCs w:val="18"/>
                <w:highlight w:val="none"/>
                <w:u w:val="none"/>
                <w:lang w:val="en-US" w:eastAsia="zh-CN"/>
              </w:rPr>
              <w:t>95</w:t>
            </w:r>
          </w:p>
        </w:tc>
        <w:tc>
          <w:tcPr>
            <w:tcW w:w="249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评价结论</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宋体"/>
                <w:color w:val="auto"/>
                <w:kern w:val="0"/>
                <w:sz w:val="18"/>
                <w:szCs w:val="18"/>
                <w:highlight w:val="none"/>
              </w:rPr>
              <w:t>项目全年预算数</w:t>
            </w:r>
            <w:r>
              <w:rPr>
                <w:rFonts w:hint="eastAsia" w:ascii="微软雅黑" w:hAnsi="微软雅黑" w:eastAsia="微软雅黑" w:cs="宋体"/>
                <w:color w:val="auto"/>
                <w:kern w:val="0"/>
                <w:sz w:val="18"/>
                <w:szCs w:val="18"/>
                <w:highlight w:val="none"/>
                <w:lang w:val="en-US" w:eastAsia="zh-CN"/>
              </w:rPr>
              <w:t>11.86</w:t>
            </w:r>
            <w:r>
              <w:rPr>
                <w:rFonts w:hint="eastAsia" w:ascii="微软雅黑" w:hAnsi="微软雅黑" w:eastAsia="微软雅黑" w:cs="宋体"/>
                <w:color w:val="auto"/>
                <w:kern w:val="0"/>
                <w:sz w:val="18"/>
                <w:szCs w:val="18"/>
                <w:highlight w:val="none"/>
              </w:rPr>
              <w:t>万元，执行数为</w:t>
            </w:r>
            <w:r>
              <w:rPr>
                <w:rFonts w:hint="eastAsia" w:ascii="微软雅黑" w:hAnsi="微软雅黑" w:eastAsia="微软雅黑" w:cs="宋体"/>
                <w:color w:val="auto"/>
                <w:kern w:val="0"/>
                <w:sz w:val="18"/>
                <w:szCs w:val="18"/>
                <w:highlight w:val="none"/>
                <w:lang w:val="en-US" w:eastAsia="zh-CN"/>
              </w:rPr>
              <w:t>11.86</w:t>
            </w:r>
            <w:r>
              <w:rPr>
                <w:rFonts w:hint="eastAsia" w:ascii="微软雅黑" w:hAnsi="微软雅黑" w:eastAsia="微软雅黑" w:cs="宋体"/>
                <w:color w:val="auto"/>
                <w:kern w:val="0"/>
                <w:sz w:val="18"/>
                <w:szCs w:val="18"/>
                <w:highlight w:val="none"/>
              </w:rPr>
              <w:t>元，完成预算的100%。自评得分9</w:t>
            </w:r>
            <w:r>
              <w:rPr>
                <w:rFonts w:hint="eastAsia" w:ascii="微软雅黑" w:hAnsi="微软雅黑" w:eastAsia="微软雅黑" w:cs="宋体"/>
                <w:color w:val="auto"/>
                <w:kern w:val="0"/>
                <w:sz w:val="18"/>
                <w:szCs w:val="18"/>
                <w:highlight w:val="none"/>
                <w:lang w:val="en-US" w:eastAsia="zh-CN"/>
              </w:rPr>
              <w:t>5</w:t>
            </w:r>
            <w:r>
              <w:rPr>
                <w:rFonts w:hint="eastAsia" w:ascii="微软雅黑" w:hAnsi="微软雅黑" w:eastAsia="微软雅黑" w:cs="宋体"/>
                <w:color w:val="auto"/>
                <w:kern w:val="0"/>
                <w:sz w:val="18"/>
                <w:szCs w:val="18"/>
                <w:highlight w:val="none"/>
              </w:rPr>
              <w:t>分</w:t>
            </w:r>
            <w:r>
              <w:rPr>
                <w:rFonts w:hint="eastAsia" w:ascii="微软雅黑" w:hAnsi="微软雅黑" w:eastAsia="微软雅黑" w:cs="宋体"/>
                <w:color w:val="auto"/>
                <w:kern w:val="0"/>
                <w:sz w:val="18"/>
                <w:szCs w:val="18"/>
                <w:highlight w:val="none"/>
                <w:lang w:eastAsia="zh-CN"/>
              </w:rPr>
              <w:t>，</w:t>
            </w:r>
            <w:r>
              <w:rPr>
                <w:rFonts w:hint="eastAsia" w:ascii="微软雅黑" w:hAnsi="微软雅黑" w:eastAsia="微软雅黑" w:cs="微软雅黑"/>
                <w:i/>
                <w:iCs/>
                <w:color w:val="auto"/>
                <w:sz w:val="16"/>
                <w:szCs w:val="16"/>
                <w:highlight w:val="none"/>
                <w:u w:val="none"/>
                <w:lang w:val="en-US" w:eastAsia="zh-CN"/>
              </w:rPr>
              <w:t>通过项目实施对白龙花灯非遗传承人进行了全面、真实、系统的记录，为传承、研究、宣传留下了宝遗资料。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存在问题</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微软雅黑" w:hAnsi="微软雅黑" w:eastAsia="微软雅黑" w:cs="微软雅黑"/>
                <w:i/>
                <w:iCs/>
                <w:color w:val="auto"/>
                <w:sz w:val="16"/>
                <w:szCs w:val="16"/>
                <w:highlight w:val="none"/>
                <w:u w:val="none"/>
                <w:lang w:val="en-US" w:eastAsia="zh-CN"/>
              </w:rPr>
              <w:t>加强人才队伍建设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auto"/>
                <w:sz w:val="18"/>
                <w:szCs w:val="18"/>
                <w:highlight w:val="none"/>
                <w:u w:val="none"/>
              </w:rPr>
            </w:pPr>
            <w:r>
              <w:rPr>
                <w:rFonts w:ascii="宋体" w:hAnsi="宋体" w:eastAsia="宋体" w:cs="宋体"/>
                <w:i w:val="0"/>
                <w:iCs w:val="0"/>
                <w:color w:val="auto"/>
                <w:kern w:val="0"/>
                <w:sz w:val="18"/>
                <w:szCs w:val="18"/>
                <w:highlight w:val="none"/>
                <w:u w:val="none"/>
                <w:lang w:val="en-US" w:eastAsia="zh-CN" w:bidi="ar"/>
              </w:rPr>
              <w:t>改进措施</w:t>
            </w:r>
          </w:p>
        </w:tc>
        <w:tc>
          <w:tcPr>
            <w:tcW w:w="1342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auto"/>
                <w:sz w:val="16"/>
                <w:szCs w:val="16"/>
                <w:highlight w:val="none"/>
                <w:u w:val="none"/>
              </w:rPr>
            </w:pPr>
            <w:r>
              <w:rPr>
                <w:rFonts w:hint="eastAsia" w:ascii="宋体" w:hAnsi="宋体" w:cs="宋体"/>
                <w:iCs/>
                <w:color w:val="auto"/>
                <w:kern w:val="0"/>
                <w:sz w:val="18"/>
                <w:szCs w:val="18"/>
                <w:highlight w:val="none"/>
              </w:rPr>
              <w:t>加大专业技术人员的培训力度</w:t>
            </w:r>
            <w:r>
              <w:rPr>
                <w:rFonts w:hint="eastAsia" w:ascii="宋体" w:hAnsi="宋体" w:cs="宋体"/>
                <w:iCs/>
                <w:color w:val="auto"/>
                <w:kern w:val="0"/>
                <w:sz w:val="18"/>
                <w:szCs w:val="18"/>
                <w:highlight w:val="none"/>
                <w:lang w:eastAsia="zh-CN"/>
              </w:rPr>
              <w:t>，</w:t>
            </w:r>
            <w:r>
              <w:rPr>
                <w:rFonts w:hint="eastAsia" w:ascii="宋体" w:hAnsi="宋体" w:cs="宋体"/>
                <w:iCs/>
                <w:color w:val="auto"/>
                <w:kern w:val="0"/>
                <w:sz w:val="18"/>
                <w:szCs w:val="18"/>
                <w:highlight w:val="none"/>
                <w:lang w:val="en-US" w:eastAsia="zh-CN"/>
              </w:rPr>
              <w:t>缓解纪录工作中经费不足的情况。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24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项目负责人：杨谦</w:t>
            </w:r>
          </w:p>
        </w:tc>
        <w:tc>
          <w:tcPr>
            <w:tcW w:w="685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iCs w:val="0"/>
                <w:color w:val="auto"/>
                <w:sz w:val="18"/>
                <w:szCs w:val="18"/>
                <w:highlight w:val="none"/>
                <w:u w:val="none"/>
                <w:lang w:val="en-US"/>
              </w:rPr>
            </w:pPr>
            <w:r>
              <w:rPr>
                <w:rFonts w:hint="eastAsia" w:ascii="黑体" w:hAnsi="黑体" w:eastAsia="黑体" w:cs="黑体"/>
                <w:i w:val="0"/>
                <w:iCs w:val="0"/>
                <w:color w:val="auto"/>
                <w:kern w:val="0"/>
                <w:sz w:val="18"/>
                <w:szCs w:val="18"/>
                <w:highlight w:val="none"/>
                <w:u w:val="none"/>
                <w:lang w:val="en-US" w:eastAsia="zh-CN" w:bidi="ar"/>
              </w:rPr>
              <w:t>财务负责人：张平</w:t>
            </w:r>
          </w:p>
        </w:tc>
      </w:tr>
    </w:tbl>
    <w:p>
      <w:pPr>
        <w:rPr>
          <w:color w:val="auto"/>
          <w:highlight w:val="none"/>
        </w:rPr>
      </w:pPr>
    </w:p>
    <w:p>
      <w:pPr>
        <w:pStyle w:val="2"/>
        <w:rPr>
          <w:rFonts w:hint="eastAsia"/>
          <w:color w:val="auto"/>
          <w:sz w:val="30"/>
          <w:szCs w:val="24"/>
          <w:highlight w:val="none"/>
          <w:lang w:val="en-US"/>
        </w:rPr>
        <w:sectPr>
          <w:footerReference r:id="rId6" w:type="default"/>
          <w:pgSz w:w="16838" w:h="11906" w:orient="landscape"/>
          <w:pgMar w:top="1800" w:right="1440" w:bottom="1800" w:left="1440" w:header="851" w:footer="992" w:gutter="0"/>
          <w:pgNumType w:fmt="decimal"/>
          <w:cols w:space="425" w:num="1"/>
          <w:docGrid w:type="lines" w:linePitch="312" w:charSpace="0"/>
        </w:sectPr>
      </w:pPr>
    </w:p>
    <w:p>
      <w:pPr>
        <w:pStyle w:val="2"/>
        <w:rPr>
          <w:rFonts w:hint="eastAsia"/>
          <w:color w:val="auto"/>
          <w:sz w:val="30"/>
          <w:szCs w:val="24"/>
          <w:highlight w:val="none"/>
          <w:lang w:val="en-US"/>
        </w:rPr>
      </w:pPr>
    </w:p>
    <w:p>
      <w:pPr>
        <w:spacing w:line="600" w:lineRule="exact"/>
        <w:ind w:firstLine="2200" w:firstLineChars="500"/>
        <w:jc w:val="both"/>
        <w:outlineLvl w:val="0"/>
        <w:rPr>
          <w:rFonts w:hint="eastAsia" w:ascii="黑体" w:hAnsi="黑体" w:eastAsia="黑体"/>
          <w:color w:val="auto"/>
          <w:kern w:val="44"/>
          <w:sz w:val="44"/>
          <w:szCs w:val="24"/>
          <w:highlight w:val="none"/>
          <w:lang w:val="en-US"/>
        </w:rPr>
      </w:pPr>
      <w:bookmarkStart w:id="28" w:name="_Toc564"/>
      <w:r>
        <w:rPr>
          <w:rFonts w:hint="eastAsia" w:ascii="黑体" w:hAnsi="黑体" w:eastAsia="黑体"/>
          <w:color w:val="auto"/>
          <w:kern w:val="2"/>
          <w:sz w:val="44"/>
          <w:szCs w:val="24"/>
          <w:highlight w:val="none"/>
          <w:lang w:val="en-US"/>
        </w:rPr>
        <w:t>第</w:t>
      </w:r>
      <w:r>
        <w:rPr>
          <w:rFonts w:hint="eastAsia" w:ascii="黑体" w:hAnsi="黑体" w:eastAsia="黑体"/>
          <w:color w:val="auto"/>
          <w:kern w:val="44"/>
          <w:sz w:val="44"/>
          <w:szCs w:val="24"/>
          <w:highlight w:val="none"/>
          <w:lang w:val="en-US"/>
        </w:rPr>
        <w:t>五部分 附表</w:t>
      </w:r>
      <w:bookmarkEnd w:id="28"/>
    </w:p>
    <w:p>
      <w:pPr>
        <w:spacing w:line="600" w:lineRule="exact"/>
        <w:jc w:val="both"/>
        <w:rPr>
          <w:rFonts w:hint="eastAsia" w:ascii="仿宋" w:hAnsi="仿宋" w:eastAsia="仿宋" w:cs="仿宋"/>
          <w:color w:val="auto"/>
          <w:kern w:val="2"/>
          <w:sz w:val="32"/>
          <w:szCs w:val="32"/>
          <w:highlight w:val="none"/>
          <w:lang w:val="en-US"/>
        </w:rPr>
      </w:pPr>
    </w:p>
    <w:p>
      <w:pPr>
        <w:pStyle w:val="3"/>
        <w:numPr>
          <w:ilvl w:val="0"/>
          <w:numId w:val="4"/>
        </w:numPr>
        <w:spacing w:line="600" w:lineRule="exact"/>
        <w:rPr>
          <w:rFonts w:hint="eastAsia" w:ascii="仿宋" w:hAnsi="仿宋" w:eastAsia="仿宋" w:cs="仿宋"/>
          <w:color w:val="auto"/>
          <w:sz w:val="32"/>
          <w:szCs w:val="32"/>
          <w:highlight w:val="none"/>
          <w:lang w:val="en-US"/>
        </w:rPr>
      </w:pPr>
      <w:bookmarkStart w:id="29" w:name="_Toc15494"/>
      <w:r>
        <w:rPr>
          <w:rFonts w:hint="eastAsia" w:ascii="仿宋" w:hAnsi="仿宋" w:eastAsia="仿宋" w:cs="仿宋"/>
          <w:color w:val="auto"/>
          <w:sz w:val="32"/>
          <w:szCs w:val="32"/>
          <w:highlight w:val="none"/>
          <w:lang w:val="en-US"/>
        </w:rPr>
        <w:t>收入支出决算总表</w:t>
      </w:r>
      <w:bookmarkEnd w:id="29"/>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30" w:name="_Toc12146"/>
      <w:r>
        <w:rPr>
          <w:rFonts w:hint="eastAsia" w:ascii="仿宋" w:hAnsi="仿宋" w:eastAsia="仿宋" w:cs="仿宋"/>
          <w:color w:val="auto"/>
          <w:sz w:val="32"/>
          <w:szCs w:val="32"/>
          <w:highlight w:val="none"/>
          <w:lang w:val="en-US"/>
        </w:rPr>
        <w:t>二、收入决算表</w:t>
      </w:r>
      <w:bookmarkEnd w:id="30"/>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31" w:name="_Toc7603"/>
      <w:r>
        <w:rPr>
          <w:rFonts w:hint="eastAsia" w:ascii="仿宋" w:hAnsi="仿宋" w:eastAsia="仿宋" w:cs="仿宋"/>
          <w:color w:val="auto"/>
          <w:sz w:val="32"/>
          <w:szCs w:val="32"/>
          <w:highlight w:val="none"/>
          <w:lang w:val="en-US"/>
        </w:rPr>
        <w:t>三、支出决算表</w:t>
      </w:r>
      <w:bookmarkEnd w:id="31"/>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32" w:name="_Toc14287"/>
      <w:r>
        <w:rPr>
          <w:rFonts w:hint="eastAsia" w:ascii="仿宋" w:hAnsi="仿宋" w:eastAsia="仿宋" w:cs="仿宋"/>
          <w:color w:val="auto"/>
          <w:sz w:val="32"/>
          <w:szCs w:val="32"/>
          <w:highlight w:val="none"/>
          <w:lang w:val="en-US"/>
        </w:rPr>
        <w:t>四、财政拨款收入支出决算总表</w:t>
      </w:r>
      <w:bookmarkEnd w:id="32"/>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33" w:name="_Toc19729"/>
      <w:r>
        <w:rPr>
          <w:rFonts w:hint="eastAsia" w:ascii="仿宋" w:hAnsi="仿宋" w:eastAsia="仿宋" w:cs="仿宋"/>
          <w:color w:val="auto"/>
          <w:sz w:val="32"/>
          <w:szCs w:val="32"/>
          <w:highlight w:val="none"/>
          <w:lang w:val="en-US"/>
        </w:rPr>
        <w:t>五、财政拨款支出决算明细表</w:t>
      </w:r>
      <w:bookmarkEnd w:id="33"/>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34" w:name="_Toc27648"/>
      <w:r>
        <w:rPr>
          <w:rFonts w:hint="eastAsia" w:ascii="仿宋" w:hAnsi="仿宋" w:eastAsia="仿宋" w:cs="仿宋"/>
          <w:color w:val="auto"/>
          <w:sz w:val="32"/>
          <w:szCs w:val="32"/>
          <w:highlight w:val="none"/>
          <w:lang w:val="en-US"/>
        </w:rPr>
        <w:t>六、一般公共预算财政拨款支出决算表</w:t>
      </w:r>
      <w:bookmarkEnd w:id="34"/>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35" w:name="_Toc5826"/>
      <w:r>
        <w:rPr>
          <w:rFonts w:hint="eastAsia" w:ascii="仿宋" w:hAnsi="仿宋" w:eastAsia="仿宋" w:cs="仿宋"/>
          <w:color w:val="auto"/>
          <w:sz w:val="32"/>
          <w:szCs w:val="32"/>
          <w:highlight w:val="none"/>
          <w:lang w:val="en-US"/>
        </w:rPr>
        <w:t>七、一般公共预算财政拨款支出决算明细表</w:t>
      </w:r>
      <w:bookmarkEnd w:id="35"/>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36" w:name="_Toc21689"/>
      <w:r>
        <w:rPr>
          <w:rFonts w:hint="eastAsia" w:ascii="仿宋" w:hAnsi="仿宋" w:eastAsia="仿宋" w:cs="仿宋"/>
          <w:color w:val="auto"/>
          <w:sz w:val="32"/>
          <w:szCs w:val="32"/>
          <w:highlight w:val="none"/>
          <w:lang w:val="en-US"/>
        </w:rPr>
        <w:t>八、一般公共预算财政拨款基本支出决算表</w:t>
      </w:r>
      <w:bookmarkEnd w:id="36"/>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37" w:name="_Toc8521"/>
      <w:r>
        <w:rPr>
          <w:rFonts w:hint="eastAsia" w:ascii="仿宋" w:hAnsi="仿宋" w:eastAsia="仿宋" w:cs="仿宋"/>
          <w:color w:val="auto"/>
          <w:sz w:val="32"/>
          <w:szCs w:val="32"/>
          <w:highlight w:val="none"/>
          <w:lang w:val="en-US"/>
        </w:rPr>
        <w:t>九、一般公共预算财政拨款项目支出决算表</w:t>
      </w:r>
      <w:bookmarkEnd w:id="37"/>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38" w:name="_Toc9389"/>
      <w:r>
        <w:rPr>
          <w:rFonts w:hint="eastAsia" w:ascii="仿宋" w:hAnsi="仿宋" w:eastAsia="仿宋" w:cs="仿宋"/>
          <w:color w:val="auto"/>
          <w:sz w:val="32"/>
          <w:szCs w:val="32"/>
          <w:highlight w:val="none"/>
          <w:lang w:val="en-US"/>
        </w:rPr>
        <w:t>十、政府性基金预算财政拨款收入支出决算表</w:t>
      </w:r>
      <w:bookmarkEnd w:id="38"/>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39" w:name="_Toc10743"/>
      <w:r>
        <w:rPr>
          <w:rFonts w:hint="eastAsia" w:ascii="仿宋" w:hAnsi="仿宋" w:eastAsia="仿宋" w:cs="仿宋"/>
          <w:color w:val="auto"/>
          <w:sz w:val="32"/>
          <w:szCs w:val="32"/>
          <w:highlight w:val="none"/>
          <w:lang w:val="en-US"/>
        </w:rPr>
        <w:t>十一、国有资本经营预算财政拨款收入支出决算表</w:t>
      </w:r>
      <w:bookmarkEnd w:id="39"/>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40" w:name="_Toc19365"/>
      <w:r>
        <w:rPr>
          <w:rFonts w:hint="eastAsia" w:ascii="仿宋" w:hAnsi="仿宋" w:eastAsia="仿宋" w:cs="仿宋"/>
          <w:color w:val="auto"/>
          <w:sz w:val="32"/>
          <w:szCs w:val="32"/>
          <w:highlight w:val="none"/>
          <w:lang w:val="en-US"/>
        </w:rPr>
        <w:t>十二、国有资本经营预算财政拨款支出决算表</w:t>
      </w:r>
      <w:bookmarkEnd w:id="40"/>
    </w:p>
    <w:p>
      <w:pPr>
        <w:pStyle w:val="3"/>
        <w:numPr>
          <w:ilvl w:val="0"/>
          <w:numId w:val="0"/>
        </w:numPr>
        <w:spacing w:line="600" w:lineRule="exact"/>
        <w:outlineLvl w:val="1"/>
        <w:rPr>
          <w:rFonts w:hint="eastAsia" w:ascii="仿宋" w:hAnsi="仿宋" w:eastAsia="仿宋" w:cs="仿宋"/>
          <w:color w:val="auto"/>
          <w:sz w:val="32"/>
          <w:szCs w:val="32"/>
          <w:highlight w:val="none"/>
          <w:lang w:val="en-US"/>
        </w:rPr>
      </w:pPr>
      <w:bookmarkStart w:id="41" w:name="_Toc29228"/>
      <w:r>
        <w:rPr>
          <w:rFonts w:hint="eastAsia" w:ascii="仿宋" w:hAnsi="仿宋" w:eastAsia="仿宋" w:cs="仿宋"/>
          <w:color w:val="auto"/>
          <w:sz w:val="32"/>
          <w:szCs w:val="32"/>
          <w:highlight w:val="none"/>
          <w:lang w:val="en-US"/>
        </w:rPr>
        <w:t>十三、财政拨款“三公”经费支出决算表</w:t>
      </w:r>
      <w:bookmarkEnd w:id="41"/>
    </w:p>
    <w:p>
      <w:pPr>
        <w:rPr>
          <w:color w:val="auto"/>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6979"/>
        <w:tab w:val="clear" w:pos="4153"/>
      </w:tabs>
      <w:rPr>
        <w:rFonts w:hint="default"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6979"/>
        <w:tab w:val="clear" w:pos="4153"/>
      </w:tabs>
      <w:rPr>
        <w:rFonts w:hint="default" w:eastAsia="宋体"/>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6979"/>
        <w:tab w:val="clear" w:pos="4153"/>
      </w:tabs>
      <w:rPr>
        <w:rFonts w:hint="default" w:eastAsia="宋体"/>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10BC5"/>
    <w:multiLevelType w:val="singleLevel"/>
    <w:tmpl w:val="96110BC5"/>
    <w:lvl w:ilvl="0" w:tentative="0">
      <w:start w:val="1"/>
      <w:numFmt w:val="chineseCounting"/>
      <w:suff w:val="nothing"/>
      <w:lvlText w:val="（%1）"/>
      <w:lvlJc w:val="left"/>
      <w:rPr>
        <w:rFonts w:hint="eastAsia"/>
      </w:rPr>
    </w:lvl>
  </w:abstractNum>
  <w:abstractNum w:abstractNumId="1">
    <w:nsid w:val="1EFF0FB8"/>
    <w:multiLevelType w:val="multilevel"/>
    <w:tmpl w:val="1EFF0FB8"/>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23F8DFE0"/>
    <w:multiLevelType w:val="multilevel"/>
    <w:tmpl w:val="23F8DFE0"/>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52570650"/>
    <w:multiLevelType w:val="singleLevel"/>
    <w:tmpl w:val="52570650"/>
    <w:lvl w:ilvl="0" w:tentative="0">
      <w:start w:val="5"/>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TQ4NmIxM2U1NTI3ZDU4OWRlMmQyZTE3MWVjMWMifQ=="/>
  </w:docVars>
  <w:rsids>
    <w:rsidRoot w:val="00000000"/>
    <w:rsid w:val="00B0507A"/>
    <w:rsid w:val="015B6D94"/>
    <w:rsid w:val="01EA0118"/>
    <w:rsid w:val="05A50F26"/>
    <w:rsid w:val="06473D8B"/>
    <w:rsid w:val="08400A92"/>
    <w:rsid w:val="0ADA51CD"/>
    <w:rsid w:val="0CA517F2"/>
    <w:rsid w:val="0DF93BBD"/>
    <w:rsid w:val="0EEA0A3C"/>
    <w:rsid w:val="0EF425D6"/>
    <w:rsid w:val="10066A65"/>
    <w:rsid w:val="135C53A0"/>
    <w:rsid w:val="143E4A1F"/>
    <w:rsid w:val="14466417"/>
    <w:rsid w:val="16505765"/>
    <w:rsid w:val="16895CFA"/>
    <w:rsid w:val="18470B41"/>
    <w:rsid w:val="197140E7"/>
    <w:rsid w:val="1BE46DA7"/>
    <w:rsid w:val="1C2945A3"/>
    <w:rsid w:val="1CE912A0"/>
    <w:rsid w:val="1E685A19"/>
    <w:rsid w:val="1EAA1B6A"/>
    <w:rsid w:val="1F1220B1"/>
    <w:rsid w:val="20390790"/>
    <w:rsid w:val="20511636"/>
    <w:rsid w:val="21B005DE"/>
    <w:rsid w:val="233166BC"/>
    <w:rsid w:val="241906BD"/>
    <w:rsid w:val="24386A9E"/>
    <w:rsid w:val="26CD39E1"/>
    <w:rsid w:val="2A5B183F"/>
    <w:rsid w:val="2A7012FA"/>
    <w:rsid w:val="2AB47391"/>
    <w:rsid w:val="2BD650E5"/>
    <w:rsid w:val="2CE35D0C"/>
    <w:rsid w:val="2EC851B9"/>
    <w:rsid w:val="31660CB9"/>
    <w:rsid w:val="328156D2"/>
    <w:rsid w:val="33274478"/>
    <w:rsid w:val="33FC6571"/>
    <w:rsid w:val="34C75F13"/>
    <w:rsid w:val="368F040D"/>
    <w:rsid w:val="37A442EA"/>
    <w:rsid w:val="38262D2F"/>
    <w:rsid w:val="387130ED"/>
    <w:rsid w:val="38ED5283"/>
    <w:rsid w:val="39C12F31"/>
    <w:rsid w:val="3A0E0662"/>
    <w:rsid w:val="3A573895"/>
    <w:rsid w:val="3B096C1D"/>
    <w:rsid w:val="3DB66B25"/>
    <w:rsid w:val="3DE17846"/>
    <w:rsid w:val="3E5B0B29"/>
    <w:rsid w:val="400B3158"/>
    <w:rsid w:val="44EB3558"/>
    <w:rsid w:val="470D5A07"/>
    <w:rsid w:val="4943606A"/>
    <w:rsid w:val="4A4D36F1"/>
    <w:rsid w:val="4D1A0E7E"/>
    <w:rsid w:val="51C825BF"/>
    <w:rsid w:val="54996B2C"/>
    <w:rsid w:val="550F3292"/>
    <w:rsid w:val="555C7B5A"/>
    <w:rsid w:val="557856C0"/>
    <w:rsid w:val="55E5374A"/>
    <w:rsid w:val="56EF159F"/>
    <w:rsid w:val="57FFE698"/>
    <w:rsid w:val="58672FCB"/>
    <w:rsid w:val="5DE828D3"/>
    <w:rsid w:val="5EEF238F"/>
    <w:rsid w:val="5FCF3D4A"/>
    <w:rsid w:val="5FE847F5"/>
    <w:rsid w:val="629D0130"/>
    <w:rsid w:val="646A4041"/>
    <w:rsid w:val="66636F9A"/>
    <w:rsid w:val="68FC7232"/>
    <w:rsid w:val="6A9A6D03"/>
    <w:rsid w:val="6AFC176B"/>
    <w:rsid w:val="6BEA5A68"/>
    <w:rsid w:val="71D945B4"/>
    <w:rsid w:val="71F633B8"/>
    <w:rsid w:val="731A6C33"/>
    <w:rsid w:val="75F75951"/>
    <w:rsid w:val="766D176F"/>
    <w:rsid w:val="76AA4771"/>
    <w:rsid w:val="782F3180"/>
    <w:rsid w:val="78713799"/>
    <w:rsid w:val="798C015E"/>
    <w:rsid w:val="7DDEF172"/>
    <w:rsid w:val="7FD634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uiPriority="99"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pPr>
    <w:rPr>
      <w:rFonts w:hint="default" w:ascii="Times New Roman" w:hAnsi="Times New Roman" w:eastAsia="宋体" w:cs="Times New Roman"/>
      <w:sz w:val="24"/>
      <w:szCs w:val="24"/>
    </w:rPr>
  </w:style>
  <w:style w:type="paragraph" w:styleId="3">
    <w:name w:val="heading 1"/>
    <w:next w:val="1"/>
    <w:unhideWhenUsed/>
    <w:uiPriority w:val="99"/>
    <w:pPr>
      <w:widowControl w:val="0"/>
      <w:autoSpaceDE w:val="0"/>
      <w:autoSpaceDN w:val="0"/>
      <w:adjustRightInd w:val="0"/>
    </w:pPr>
    <w:rPr>
      <w:rFonts w:hint="default" w:ascii="Times New Roman" w:hAnsi="Times New Roman" w:eastAsia="宋体" w:cs="Times New Roman"/>
      <w:sz w:val="24"/>
      <w:szCs w:val="24"/>
    </w:rPr>
  </w:style>
  <w:style w:type="paragraph" w:styleId="4">
    <w:name w:val="heading 2"/>
    <w:next w:val="1"/>
    <w:unhideWhenUsed/>
    <w:qFormat/>
    <w:uiPriority w:val="99"/>
    <w:pPr>
      <w:widowControl w:val="0"/>
      <w:autoSpaceDE w:val="0"/>
      <w:autoSpaceDN w:val="0"/>
      <w:adjustRightInd w:val="0"/>
    </w:pPr>
    <w:rPr>
      <w:rFonts w:hint="default" w:ascii="Times New Roman" w:hAnsi="Times New Roman" w:eastAsia="宋体" w:cs="Times New Roman"/>
      <w:sz w:val="2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Lines="30"/>
    </w:pPr>
    <w:rPr>
      <w:rFonts w:hint="eastAsia" w:ascii="仿宋_GB2312" w:hAnsi="Times New Roman" w:eastAsia="仿宋_GB2312"/>
      <w:sz w:val="30"/>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unhideWhenUsed/>
    <w:qFormat/>
    <w:uiPriority w:val="99"/>
    <w:rPr>
      <w:rFonts w:hint="default"/>
      <w:b/>
      <w:sz w:val="24"/>
      <w:szCs w:val="24"/>
    </w:rPr>
  </w:style>
  <w:style w:type="paragraph" w:customStyle="1" w:styleId="10">
    <w:name w:val="Default"/>
    <w:unhideWhenUsed/>
    <w:qFormat/>
    <w:uiPriority w:val="99"/>
    <w:pPr>
      <w:widowControl w:val="0"/>
      <w:autoSpaceDE w:val="0"/>
      <w:autoSpaceDN w:val="0"/>
      <w:adjustRightInd w:val="0"/>
      <w:spacing w:beforeLines="0" w:afterLines="0"/>
    </w:pPr>
    <w:rPr>
      <w:rFonts w:hint="eastAsia" w:ascii="仿宋" w:hAnsi="Calibri" w:eastAsia="仿宋" w:cs="仿宋"/>
      <w:color w:val="000000"/>
      <w:sz w:val="24"/>
      <w:szCs w:val="24"/>
      <w:lang w:val="en-US" w:eastAsia="zh-CN" w:bidi="ar-SA"/>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 w:type="paragraph" w:customStyle="1" w:styleId="13">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收、支决算总计变动情况图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收、支总计</c:v>
                </c:pt>
              </c:strCache>
            </c:strRef>
          </c:cat>
          <c:val>
            <c:numRef>
              <c:f>Sheet1!$B$2:$B$3</c:f>
              <c:numCache>
                <c:formatCode>General</c:formatCode>
                <c:ptCount val="2"/>
                <c:pt idx="0">
                  <c:v>326.39</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3"/>
                <c:pt idx="0">
                  <c:v>收、支总计</c:v>
                </c:pt>
              </c:strCache>
            </c:strRef>
          </c:cat>
          <c:val>
            <c:numRef>
              <c:f>Sheet1!$C$2:$C$3</c:f>
              <c:numCache>
                <c:formatCode>General</c:formatCode>
                <c:ptCount val="2"/>
                <c:pt idx="0">
                  <c:v>142.13</c:v>
                </c:pt>
              </c:numCache>
            </c:numRef>
          </c:val>
        </c:ser>
        <c:dLbls>
          <c:showLegendKey val="0"/>
          <c:showVal val="0"/>
          <c:showCatName val="0"/>
          <c:showSerName val="0"/>
          <c:showPercent val="0"/>
          <c:showBubbleSize val="0"/>
        </c:dLbls>
        <c:gapWidth val="200"/>
        <c:overlap val="-50"/>
        <c:axId val="216299776"/>
        <c:axId val="219460352"/>
      </c:barChart>
      <c:catAx>
        <c:axId val="21629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460352"/>
        <c:crosses val="autoZero"/>
        <c:auto val="1"/>
        <c:lblAlgn val="ctr"/>
        <c:lblOffset val="100"/>
        <c:noMultiLvlLbl val="0"/>
      </c:catAx>
      <c:valAx>
        <c:axId val="219460352"/>
        <c:scaling>
          <c:orientation val="minMax"/>
          <c:min val="0"/>
        </c:scaling>
        <c:delete val="0"/>
        <c:axPos val="l"/>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62997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zh-CN" sz="900" b="0" i="0" u="none" strike="noStrike" kern="1200" baseline="0">
                <a:solidFill>
                  <a:schemeClr val="tx1">
                    <a:lumMod val="65000"/>
                    <a:lumOff val="35000"/>
                  </a:schemeClr>
                </a:solidFill>
                <a:effectLst>
                  <a:outerShdw blurRad="50800" dist="38100" dir="5400000" algn="ctr" rotWithShape="0">
                    <a:srgbClr val="000000">
                      <a:alpha val="43137"/>
                    </a:srgbClr>
                  </a:outerShdw>
                </a:effectLst>
                <a:latin typeface="+mn-lt"/>
                <a:ea typeface="+mn-ea"/>
                <a:cs typeface="+mn-cs"/>
              </a:defRPr>
            </a:pPr>
          </a:p>
        </c:txPr>
      </c:legendEntry>
      <c:layout>
        <c:manualLayout>
          <c:xMode val="edge"/>
          <c:yMode val="edge"/>
          <c:x val="0.402660727185167"/>
          <c:y val="0.903611971104231"/>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ltLang="zh-CN" sz="1800" b="1" i="0" u="none" strike="noStrike" baseline="0">
                <a:effectLst/>
              </a:rPr>
              <a:t>收入决算结构图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a:solidFill>
              <a:schemeClr val="accent2"/>
            </a:solidFill>
          </c:spPr>
          <c:explosion val="0"/>
          <c:dPt>
            <c:idx val="0"/>
            <c:bubble3D val="0"/>
            <c:spPr>
              <a:solidFill>
                <a:schemeClr val="accent2"/>
              </a:solidFill>
              <a:ln>
                <a:solidFill>
                  <a:schemeClr val="accent2"/>
                </a:solidFill>
              </a:ln>
              <a:effectLst>
                <a:outerShdw blurRad="254000" sx="102000" sy="102000" algn="ctr" rotWithShape="0">
                  <a:prstClr val="black">
                    <a:alpha val="20000"/>
                  </a:prstClr>
                </a:outerShdw>
              </a:effectLst>
            </c:spPr>
          </c:dPt>
          <c:dPt>
            <c:idx val="1"/>
            <c:bubble3D val="0"/>
            <c:spPr>
              <a:solidFill>
                <a:schemeClr val="accent1"/>
              </a:solidFill>
              <a:ln>
                <a:noFill/>
              </a:ln>
              <a:effectLst>
                <a:outerShdw blurRad="254000" sx="102000" sy="102000" algn="ctr" rotWithShape="0">
                  <a:prstClr val="black">
                    <a:alpha val="20000"/>
                  </a:prstClr>
                </a:outerShdw>
              </a:effectLst>
            </c:spPr>
          </c:dPt>
          <c:dLbls>
            <c:dLbl>
              <c:idx val="0"/>
              <c:layout/>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0"/>
              <c:showCatName val="0"/>
              <c:showSerName val="0"/>
              <c:showPercent val="1"/>
              <c:showBubbleSize val="0"/>
              <c:extLst>
                <c:ext xmlns:c15="http://schemas.microsoft.com/office/drawing/2012/chart" uri="{CE6537A1-D6FC-4f65-9D91-7224C49458BB}"/>
              </c:extLst>
            </c:dLbl>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256.37</c:v>
                </c:pt>
                <c:pt idx="1">
                  <c:v>0.03</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ltLang="zh-CN" sz="1800" b="1" i="0" u="none" strike="noStrike" baseline="0">
                <a:effectLst/>
              </a:rPr>
              <a:t>支出决算结构图</a:t>
            </a:r>
            <a:endParaRPr lang="zh-CN" altLang="en-US"/>
          </a:p>
        </c:rich>
      </c:tx>
      <c:layout>
        <c:manualLayout>
          <c:xMode val="edge"/>
          <c:yMode val="edge"/>
          <c:x val="0.284238488783944"/>
          <c:y val="0.100251326445127"/>
        </c:manualLayout>
      </c:layout>
      <c:overlay val="0"/>
      <c:spPr>
        <a:noFill/>
        <a:ln>
          <a:noFill/>
        </a:ln>
        <a:effectLst/>
      </c:spPr>
    </c:title>
    <c:autoTitleDeleted val="0"/>
    <c:plotArea>
      <c:layout>
        <c:manualLayout>
          <c:layoutTarget val="inner"/>
          <c:xMode val="edge"/>
          <c:yMode val="edge"/>
          <c:x val="0.295546051095244"/>
          <c:y val="0.242073662554984"/>
          <c:w val="0.386166666666668"/>
          <c:h val="0.680469897209986"/>
        </c:manualLayout>
      </c:layout>
      <c:pieChart>
        <c:varyColors val="1"/>
        <c:ser>
          <c:idx val="0"/>
          <c:order val="0"/>
          <c:tx>
            <c:strRef>
              <c:f>Sheet1!$B$1</c:f>
              <c:strCache>
                <c:ptCount val="1"/>
                <c:pt idx="0">
                  <c:v>金额</c:v>
                </c:pt>
              </c:strCache>
            </c:strRef>
          </c:tx>
          <c:spPr>
            <a:solidFill>
              <a:schemeClr val="accent2"/>
            </a:solidFill>
          </c:spPr>
          <c:explosion val="0"/>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1"/>
              </a:solidFill>
              <a:ln>
                <a:noFill/>
              </a:ln>
              <a:effectLst>
                <a:outerShdw blurRad="2540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30.35</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7</a:t>
                    </a:r>
                    <a:r>
                      <a:rPr lang="en-US" altLang="zh-CN"/>
                      <a:t>8.4</a:t>
                    </a:r>
                    <a:r>
                      <a:t>%</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87.62</c:v>
                </c:pt>
                <c:pt idx="1">
                  <c:v>226.87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财政拨款收、支总计</c:v>
                </c:pt>
              </c:strCache>
            </c:strRef>
          </c:cat>
          <c:val>
            <c:numRef>
              <c:f>Sheet1!$B$2</c:f>
              <c:numCache>
                <c:formatCode>General</c:formatCode>
                <c:ptCount val="1"/>
                <c:pt idx="0">
                  <c:v>326.36</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财政拨款收、支总计</c:v>
                </c:pt>
              </c:strCache>
            </c:strRef>
          </c:cat>
          <c:val>
            <c:numRef>
              <c:f>Sheet1!$C$2</c:f>
              <c:numCache>
                <c:formatCode>General</c:formatCode>
                <c:ptCount val="1"/>
                <c:pt idx="0">
                  <c:v>141.54</c:v>
                </c:pt>
              </c:numCache>
            </c:numRef>
          </c:val>
        </c:ser>
        <c:dLbls>
          <c:showLegendKey val="0"/>
          <c:showVal val="0"/>
          <c:showCatName val="0"/>
          <c:showSerName val="0"/>
          <c:showPercent val="0"/>
          <c:showBubbleSize val="0"/>
        </c:dLbls>
        <c:gapWidth val="219"/>
        <c:overlap val="-27"/>
        <c:axId val="320931328"/>
        <c:axId val="321471616"/>
      </c:barChart>
      <c:catAx>
        <c:axId val="32093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1471616"/>
        <c:crosses val="autoZero"/>
        <c:auto val="1"/>
        <c:lblAlgn val="ctr"/>
        <c:lblOffset val="100"/>
        <c:noMultiLvlLbl val="0"/>
      </c:catAx>
      <c:valAx>
        <c:axId val="321471616"/>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931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一般公共预算财政拨款支出决算变动情况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一般公共预算财政拨款支出</c:v>
                </c:pt>
              </c:strCache>
            </c:strRef>
          </c:cat>
          <c:val>
            <c:numRef>
              <c:f>Sheet1!$B$2</c:f>
              <c:numCache>
                <c:formatCode>General</c:formatCode>
                <c:ptCount val="1"/>
                <c:pt idx="0">
                  <c:v>314.46</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一般公共预算财政拨款支出</c:v>
                </c:pt>
              </c:strCache>
            </c:strRef>
          </c:cat>
          <c:val>
            <c:numRef>
              <c:f>Sheet1!$C$2</c:f>
              <c:numCache>
                <c:formatCode>General</c:formatCode>
                <c:ptCount val="1"/>
                <c:pt idx="0">
                  <c:v>139.79</c:v>
                </c:pt>
              </c:numCache>
            </c:numRef>
          </c:val>
        </c:ser>
        <c:dLbls>
          <c:showLegendKey val="0"/>
          <c:showVal val="0"/>
          <c:showCatName val="0"/>
          <c:showSerName val="0"/>
          <c:showPercent val="0"/>
          <c:showBubbleSize val="0"/>
        </c:dLbls>
        <c:gapWidth val="219"/>
        <c:overlap val="-27"/>
        <c:axId val="172137856"/>
        <c:axId val="207434880"/>
      </c:barChart>
      <c:catAx>
        <c:axId val="17213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7434880"/>
        <c:crosses val="autoZero"/>
        <c:auto val="1"/>
        <c:lblAlgn val="ctr"/>
        <c:lblOffset val="100"/>
        <c:noMultiLvlLbl val="0"/>
      </c:catAx>
      <c:valAx>
        <c:axId val="207434880"/>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1378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0502983802217"/>
          <c:y val="0.00834492350486787"/>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1"/>
              <c:layout>
                <c:manualLayout>
                  <c:x val="0.0122004584485933"/>
                  <c:y val="0.078890324467955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530717762133815"/>
                  <c:y val="0.032704874738954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36715703096708"/>
                  <c:y val="0.11664107002104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文化旅游体育与传媒支出</c:v>
                </c:pt>
                <c:pt idx="1">
                  <c:v>社会保障和就业</c:v>
                </c:pt>
                <c:pt idx="2">
                  <c:v>卫生健康支出</c:v>
                </c:pt>
                <c:pt idx="3">
                  <c:v>住房保障支出</c:v>
                </c:pt>
              </c:strCache>
            </c:strRef>
          </c:cat>
          <c:val>
            <c:numRef>
              <c:f>Sheet1!$B$2:$B$5</c:f>
              <c:numCache>
                <c:formatCode>General</c:formatCode>
                <c:ptCount val="4"/>
                <c:pt idx="0">
                  <c:v>119.01</c:v>
                </c:pt>
                <c:pt idx="1">
                  <c:v>6.96</c:v>
                </c:pt>
                <c:pt idx="2">
                  <c:v>3.82</c:v>
                </c:pt>
                <c:pt idx="3">
                  <c:v>9.99</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31</Pages>
  <Words>10279</Words>
  <Characters>11884</Characters>
  <Lines>0</Lines>
  <Paragraphs>0</Paragraphs>
  <TotalTime>14</TotalTime>
  <ScaleCrop>false</ScaleCrop>
  <LinksUpToDate>false</LinksUpToDate>
  <CharactersWithSpaces>12058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2023-09-12T14:56:00Z</dcterms:created>
  <dc:creator>ABC</dc:creator>
  <cp:lastModifiedBy>土匪唱情歌</cp:lastModifiedBy>
  <cp:lastPrinted>2023-09-21T11:07:00Z</cp:lastPrinted>
  <dcterms:modified xsi:type="dcterms:W3CDTF">2023-10-18T07:24:15Z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E991959406B0424DACB34725CC7ED8F1_13</vt:lpwstr>
  </property>
</Properties>
</file>