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9662"/>
      <w:bookmarkStart w:id="3" w:name="_Toc15396597"/>
      <w:bookmarkStart w:id="4" w:name="_Toc15377193"/>
      <w:bookmarkStart w:id="5" w:name="_Toc15377425"/>
      <w:bookmarkStart w:id="6"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96598"/>
      <w:bookmarkStart w:id="8" w:name="_Toc15396476"/>
      <w:bookmarkStart w:id="9" w:name="_Toc15377194"/>
      <w:bookmarkStart w:id="10" w:name="_Toc15377426"/>
      <w:bookmarkStart w:id="11" w:name="_Toc15378442"/>
      <w:bookmarkStart w:id="12" w:name="_Toc30767"/>
      <w:bookmarkStart w:id="13" w:name="_Toc15306268"/>
      <w:r>
        <w:rPr>
          <w:rFonts w:hint="eastAsia" w:ascii="方正小标宋简体" w:hAnsi="方正小标宋简体" w:eastAsia="方正小标宋简体" w:cs="方正小标宋简体"/>
          <w:sz w:val="72"/>
          <w:szCs w:val="72"/>
        </w:rPr>
        <w:t>广元市博物馆决算</w:t>
      </w:r>
      <w:bookmarkEnd w:id="7"/>
      <w:bookmarkEnd w:id="8"/>
      <w:bookmarkEnd w:id="9"/>
      <w:bookmarkEnd w:id="10"/>
      <w:bookmarkEnd w:id="11"/>
      <w:bookmarkEnd w:id="12"/>
      <w:bookmarkEnd w:id="13"/>
    </w:p>
    <w:p>
      <w:pPr>
        <w:widowControl/>
        <w:spacing w:line="576" w:lineRule="exact"/>
        <w:jc w:val="center"/>
        <w:rPr>
          <w:rFonts w:asciiTheme="majorEastAsia" w:hAnsiTheme="majorEastAsia" w:eastAsiaTheme="majorEastAsia" w:cstheme="majorEastAsia"/>
          <w:b/>
          <w:bCs/>
          <w:sz w:val="44"/>
          <w:szCs w:val="44"/>
        </w:rPr>
      </w:pPr>
      <w:r>
        <w:rPr>
          <w:rFonts w:ascii="方正小标宋简体" w:hAnsi="宋体" w:eastAsia="方正小标宋简体"/>
          <w:sz w:val="36"/>
          <w:szCs w:val="36"/>
        </w:rPr>
        <w:br w:type="page"/>
      </w:r>
      <w:r>
        <w:rPr>
          <w:rFonts w:hint="eastAsia" w:asciiTheme="majorEastAsia" w:hAnsiTheme="majorEastAsia" w:eastAsiaTheme="majorEastAsia" w:cstheme="majorEastAsia"/>
          <w:b/>
          <w:bCs/>
          <w:sz w:val="44"/>
          <w:szCs w:val="44"/>
        </w:rPr>
        <w:t>目录</w:t>
      </w:r>
    </w:p>
    <w:p>
      <w:pPr>
        <w:pStyle w:val="10"/>
        <w:spacing w:before="0" w:line="576" w:lineRule="exact"/>
        <w:rPr>
          <w:rFonts w:asciiTheme="minorEastAsia" w:hAnsiTheme="minorEastAsia" w:eastAsiaTheme="minorEastAsia" w:cstheme="minorEastAsia"/>
        </w:rPr>
      </w:pPr>
      <w:r>
        <w:rPr>
          <w:rFonts w:hint="eastAsia" w:cs="仿宋"/>
          <w:sz w:val="30"/>
          <w:szCs w:val="30"/>
        </w:rPr>
        <w:t>公开时间：2023年</w:t>
      </w:r>
      <w:r>
        <w:rPr>
          <w:rFonts w:hint="eastAsia" w:cs="仿宋"/>
          <w:sz w:val="30"/>
          <w:szCs w:val="30"/>
          <w:lang w:val="en-US" w:eastAsia="zh-CN"/>
        </w:rPr>
        <w:t>10</w:t>
      </w:r>
      <w:r>
        <w:rPr>
          <w:rFonts w:hint="eastAsia" w:cs="仿宋"/>
          <w:sz w:val="30"/>
          <w:szCs w:val="30"/>
        </w:rPr>
        <w:t>月</w:t>
      </w:r>
      <w:r>
        <w:rPr>
          <w:rFonts w:hint="eastAsia" w:cs="仿宋"/>
          <w:sz w:val="30"/>
          <w:szCs w:val="30"/>
          <w:lang w:val="en-US" w:eastAsia="zh-CN"/>
        </w:rPr>
        <w:t>16</w:t>
      </w:r>
      <w:bookmarkStart w:id="100" w:name="_GoBack"/>
      <w:bookmarkEnd w:id="100"/>
      <w:r>
        <w:rPr>
          <w:rFonts w:hint="eastAsia" w:cs="仿宋"/>
          <w:sz w:val="30"/>
          <w:szCs w:val="30"/>
        </w:rPr>
        <w:t>日</w:t>
      </w:r>
    </w:p>
    <w:p>
      <w:pPr>
        <w:spacing w:line="576" w:lineRule="exact"/>
        <w:ind w:firstLine="560" w:firstLineChars="200"/>
        <w:rPr>
          <w:rFonts w:asciiTheme="minorEastAsia" w:hAnsiTheme="minorEastAsia" w:eastAsiaTheme="minorEastAsia" w:cstheme="minorEastAsia"/>
          <w:sz w:val="28"/>
          <w:szCs w:val="28"/>
        </w:rPr>
      </w:pPr>
    </w:p>
    <w:sdt>
      <w:sdtPr>
        <w:rPr>
          <w:rFonts w:ascii="宋体" w:hAnsi="宋体" w:eastAsia="宋体" w:cs="Times New Roman"/>
          <w:kern w:val="2"/>
          <w:sz w:val="21"/>
          <w:szCs w:val="24"/>
          <w:lang w:val="en-US" w:eastAsia="zh-CN" w:bidi="ar-SA"/>
        </w:rPr>
        <w:id w:val="147455850"/>
        <w15:color w:val="DBDBDB"/>
        <w:docPartObj>
          <w:docPartGallery w:val="Table of Contents"/>
          <w:docPartUnique/>
        </w:docPartObj>
      </w:sdtPr>
      <w:sdtEndPr>
        <w:rPr>
          <w:rFonts w:asciiTheme="minorEastAsia" w:hAnsiTheme="minorEastAsia" w:eastAsiaTheme="minorEastAsia" w:cstheme="minorEastAsia"/>
          <w:b/>
          <w:bCs/>
          <w:kern w:val="44"/>
          <w:sz w:val="44"/>
          <w:szCs w:val="28"/>
          <w:lang w:val="en-US" w:eastAsia="zh-CN" w:bidi="ar-SA"/>
        </w:rPr>
      </w:sdtEndPr>
      <w:sdtContent>
        <w:p>
          <w:pPr>
            <w:spacing w:before="0" w:beforeLines="0" w:after="0" w:afterLines="0" w:line="240" w:lineRule="auto"/>
            <w:ind w:left="0" w:leftChars="0" w:right="0" w:rightChars="0" w:firstLine="0" w:firstLineChars="0"/>
            <w:jc w:val="center"/>
          </w:pPr>
          <w:bookmarkStart w:id="14" w:name="_Toc15396599"/>
          <w:bookmarkStart w:id="15" w:name="_Toc15377196"/>
          <w:r>
            <w:rPr>
              <w:rFonts w:asciiTheme="minorEastAsia" w:hAnsiTheme="minorEastAsia" w:eastAsiaTheme="minorEastAsia" w:cstheme="minorEastAsia"/>
              <w:b w:val="0"/>
              <w:sz w:val="28"/>
              <w:szCs w:val="28"/>
            </w:rPr>
            <w:fldChar w:fldCharType="begin"/>
          </w:r>
          <w:r>
            <w:rPr>
              <w:rFonts w:asciiTheme="minorEastAsia" w:hAnsiTheme="minorEastAsia" w:eastAsiaTheme="minorEastAsia" w:cstheme="minorEastAsia"/>
              <w:b w:val="0"/>
              <w:sz w:val="28"/>
              <w:szCs w:val="28"/>
            </w:rPr>
            <w:instrText xml:space="preserve">TOC \o "1-3" \h \u </w:instrText>
          </w:r>
          <w:r>
            <w:rPr>
              <w:rFonts w:asciiTheme="minorEastAsia" w:hAnsiTheme="minorEastAsia" w:eastAsiaTheme="minorEastAsia" w:cstheme="minorEastAsia"/>
              <w:b w:val="0"/>
              <w:sz w:val="28"/>
              <w:szCs w:val="28"/>
            </w:rPr>
            <w:fldChar w:fldCharType="separate"/>
          </w:r>
        </w:p>
        <w:p>
          <w:pPr>
            <w:pStyle w:val="10"/>
            <w:tabs>
              <w:tab w:val="right" w:leader="dot" w:pos="8306"/>
              <w:tab w:val="clear" w:pos="8296"/>
            </w:tabs>
            <w:jc w:val="both"/>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_Toc21270 </w:instrText>
          </w:r>
          <w:r>
            <w:rPr>
              <w:rFonts w:asciiTheme="minorEastAsia" w:hAnsiTheme="minorEastAsia" w:eastAsiaTheme="minorEastAsia" w:cstheme="minorEastAsia"/>
              <w:szCs w:val="28"/>
            </w:rPr>
            <w:fldChar w:fldCharType="separate"/>
          </w:r>
          <w:r>
            <w:rPr>
              <w:rFonts w:hint="eastAsia" w:asciiTheme="majorEastAsia" w:hAnsiTheme="majorEastAsia" w:eastAsiaTheme="majorEastAsia" w:cstheme="majorEastAsia"/>
              <w:bCs w:val="0"/>
            </w:rPr>
            <w:t>第一部分 单位概况</w:t>
          </w:r>
          <w:r>
            <w:tab/>
          </w:r>
          <w:r>
            <w:fldChar w:fldCharType="begin"/>
          </w:r>
          <w:r>
            <w:instrText xml:space="preserve"> PAGEREF _Toc21270 \h </w:instrText>
          </w:r>
          <w:r>
            <w:fldChar w:fldCharType="separate"/>
          </w:r>
          <w:r>
            <w:t>1</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_Toc13297 </w:instrText>
          </w:r>
          <w:r>
            <w:rPr>
              <w:rFonts w:asciiTheme="minorEastAsia" w:hAnsiTheme="minorEastAsia" w:eastAsiaTheme="minorEastAsia" w:cstheme="minorEastAsia"/>
              <w:szCs w:val="28"/>
            </w:rPr>
            <w:fldChar w:fldCharType="separate"/>
          </w:r>
          <w:r>
            <w:rPr>
              <w:rFonts w:hint="eastAsia" w:ascii="黑体" w:hAnsi="黑体" w:eastAsia="黑体"/>
              <w:bCs w:val="0"/>
            </w:rPr>
            <w:t>一、 主要职责</w:t>
          </w:r>
          <w:r>
            <w:tab/>
          </w:r>
          <w:r>
            <w:fldChar w:fldCharType="begin"/>
          </w:r>
          <w:r>
            <w:instrText xml:space="preserve"> PAGEREF _Toc13297 \h </w:instrText>
          </w:r>
          <w:r>
            <w:fldChar w:fldCharType="separate"/>
          </w:r>
          <w:r>
            <w:t>1</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_Toc25246 </w:instrText>
          </w:r>
          <w:r>
            <w:rPr>
              <w:rFonts w:asciiTheme="minorEastAsia" w:hAnsiTheme="minorEastAsia" w:eastAsiaTheme="minorEastAsia" w:cstheme="minorEastAsia"/>
              <w:szCs w:val="28"/>
            </w:rPr>
            <w:fldChar w:fldCharType="separate"/>
          </w:r>
          <w:r>
            <w:rPr>
              <w:rFonts w:hint="eastAsia" w:ascii="黑体" w:hAnsi="黑体" w:eastAsia="黑体"/>
            </w:rPr>
            <w:t>二、机构设置</w:t>
          </w:r>
          <w:r>
            <w:tab/>
          </w:r>
          <w:r>
            <w:fldChar w:fldCharType="begin"/>
          </w:r>
          <w:r>
            <w:instrText xml:space="preserve"> PAGEREF _Toc25246 \h </w:instrText>
          </w:r>
          <w:r>
            <w:fldChar w:fldCharType="separate"/>
          </w:r>
          <w:r>
            <w:t>1</w:t>
          </w:r>
          <w:r>
            <w:fldChar w:fldCharType="end"/>
          </w:r>
          <w:r>
            <w:rPr>
              <w:rFonts w:asciiTheme="minorEastAsia" w:hAnsiTheme="minorEastAsia" w:eastAsiaTheme="minorEastAsia" w:cstheme="minorEastAsia"/>
              <w:szCs w:val="28"/>
            </w:rPr>
            <w:fldChar w:fldCharType="end"/>
          </w:r>
        </w:p>
        <w:p>
          <w:pPr>
            <w:pStyle w:val="10"/>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_Toc12556 </w:instrText>
          </w:r>
          <w:r>
            <w:rPr>
              <w:rFonts w:asciiTheme="minorEastAsia" w:hAnsiTheme="minorEastAsia" w:eastAsiaTheme="minorEastAsia" w:cstheme="minorEastAsia"/>
              <w:szCs w:val="28"/>
            </w:rPr>
            <w:fldChar w:fldCharType="separate"/>
          </w:r>
          <w:r>
            <w:rPr>
              <w:rFonts w:hint="eastAsia" w:asciiTheme="majorEastAsia" w:hAnsiTheme="majorEastAsia" w:eastAsiaTheme="majorEastAsia" w:cstheme="majorEastAsia"/>
              <w:bCs w:val="0"/>
            </w:rPr>
            <w:t>第二部分 2022年度单位决算情况说明</w:t>
          </w:r>
          <w:r>
            <w:tab/>
          </w:r>
          <w:r>
            <w:fldChar w:fldCharType="begin"/>
          </w:r>
          <w:r>
            <w:instrText xml:space="preserve"> PAGEREF _Toc12556 \h </w:instrText>
          </w:r>
          <w:r>
            <w:fldChar w:fldCharType="separate"/>
          </w:r>
          <w:r>
            <w:t>2</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_Toc3023 </w:instrText>
          </w:r>
          <w:r>
            <w:rPr>
              <w:rFonts w:asciiTheme="minorEastAsia" w:hAnsiTheme="minorEastAsia" w:eastAsiaTheme="minorEastAsia" w:cstheme="minorEastAsia"/>
              <w:szCs w:val="28"/>
            </w:rPr>
            <w:fldChar w:fldCharType="separate"/>
          </w:r>
          <w:r>
            <w:rPr>
              <w:rFonts w:hint="eastAsia" w:ascii="黑体" w:hAnsi="黑体" w:eastAsia="黑体"/>
              <w:szCs w:val="32"/>
            </w:rPr>
            <w:t>一、收</w:t>
          </w:r>
          <w:r>
            <w:rPr>
              <w:rFonts w:hint="eastAsia" w:ascii="黑体" w:hAnsi="黑体" w:eastAsia="黑体"/>
            </w:rPr>
            <w:t>入支出决算总体情况说明</w:t>
          </w:r>
          <w:r>
            <w:tab/>
          </w:r>
          <w:r>
            <w:fldChar w:fldCharType="begin"/>
          </w:r>
          <w:r>
            <w:instrText xml:space="preserve"> PAGEREF _Toc3023 \h </w:instrText>
          </w:r>
          <w:r>
            <w:fldChar w:fldCharType="separate"/>
          </w:r>
          <w:r>
            <w:t>2</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_Toc26898 </w:instrText>
          </w:r>
          <w:r>
            <w:rPr>
              <w:rFonts w:asciiTheme="minorEastAsia" w:hAnsiTheme="minorEastAsia" w:eastAsiaTheme="minorEastAsia" w:cstheme="minorEastAsia"/>
              <w:szCs w:val="28"/>
            </w:rPr>
            <w:fldChar w:fldCharType="separate"/>
          </w:r>
          <w:r>
            <w:rPr>
              <w:rFonts w:hint="eastAsia" w:ascii="黑体" w:hAnsi="黑体" w:eastAsia="黑体" w:cs="黑体"/>
              <w:szCs w:val="32"/>
            </w:rPr>
            <w:t>二、收</w:t>
          </w:r>
          <w:r>
            <w:rPr>
              <w:rFonts w:hint="eastAsia" w:ascii="黑体" w:hAnsi="黑体" w:eastAsia="黑体" w:cs="黑体"/>
            </w:rPr>
            <w:t>入决算情况说明</w:t>
          </w:r>
          <w:r>
            <w:tab/>
          </w:r>
          <w:r>
            <w:fldChar w:fldCharType="begin"/>
          </w:r>
          <w:r>
            <w:instrText xml:space="preserve"> PAGEREF _Toc26898 \h </w:instrText>
          </w:r>
          <w:r>
            <w:fldChar w:fldCharType="separate"/>
          </w:r>
          <w:r>
            <w:t>2</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_Toc28590 </w:instrText>
          </w:r>
          <w:r>
            <w:rPr>
              <w:rFonts w:asciiTheme="minorEastAsia" w:hAnsiTheme="minorEastAsia" w:eastAsiaTheme="minorEastAsia" w:cstheme="minorEastAsia"/>
              <w:szCs w:val="28"/>
            </w:rPr>
            <w:fldChar w:fldCharType="separate"/>
          </w:r>
          <w:r>
            <w:rPr>
              <w:rFonts w:hint="eastAsia" w:ascii="黑体" w:hAnsi="黑体" w:eastAsia="黑体" w:cs="黑体"/>
              <w:szCs w:val="32"/>
            </w:rPr>
            <w:t>三、支</w:t>
          </w:r>
          <w:r>
            <w:rPr>
              <w:rFonts w:hint="eastAsia" w:ascii="黑体" w:hAnsi="黑体" w:eastAsia="黑体" w:cs="黑体"/>
            </w:rPr>
            <w:t>出决算情况说明</w:t>
          </w:r>
          <w:r>
            <w:tab/>
          </w:r>
          <w:r>
            <w:fldChar w:fldCharType="begin"/>
          </w:r>
          <w:r>
            <w:instrText xml:space="preserve"> PAGEREF _Toc28590 \h </w:instrText>
          </w:r>
          <w:r>
            <w:fldChar w:fldCharType="separate"/>
          </w:r>
          <w:r>
            <w:t>3</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_Toc6534 </w:instrText>
          </w:r>
          <w:r>
            <w:rPr>
              <w:rFonts w:asciiTheme="minorEastAsia" w:hAnsiTheme="minorEastAsia" w:eastAsiaTheme="minorEastAsia" w:cstheme="minorEastAsia"/>
              <w:szCs w:val="28"/>
            </w:rPr>
            <w:fldChar w:fldCharType="separate"/>
          </w:r>
          <w:r>
            <w:rPr>
              <w:rFonts w:hint="eastAsia" w:ascii="黑体" w:hAnsi="黑体" w:eastAsia="黑体" w:cs="黑体"/>
              <w:szCs w:val="32"/>
            </w:rPr>
            <w:t>四、财</w:t>
          </w:r>
          <w:r>
            <w:rPr>
              <w:rFonts w:hint="eastAsia" w:ascii="黑体" w:hAnsi="黑体" w:eastAsia="黑体" w:cs="黑体"/>
            </w:rPr>
            <w:t>政拨款收入支出决算总体情况说明</w:t>
          </w:r>
          <w:r>
            <w:tab/>
          </w:r>
          <w:r>
            <w:fldChar w:fldCharType="begin"/>
          </w:r>
          <w:r>
            <w:instrText xml:space="preserve"> PAGEREF _Toc6534 \h </w:instrText>
          </w:r>
          <w:r>
            <w:fldChar w:fldCharType="separate"/>
          </w:r>
          <w:r>
            <w:t>4</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_Toc7239 </w:instrText>
          </w:r>
          <w:r>
            <w:rPr>
              <w:rFonts w:asciiTheme="minorEastAsia" w:hAnsiTheme="minorEastAsia" w:eastAsiaTheme="minorEastAsia" w:cstheme="minorEastAsia"/>
              <w:szCs w:val="28"/>
            </w:rPr>
            <w:fldChar w:fldCharType="separate"/>
          </w:r>
          <w:r>
            <w:rPr>
              <w:rFonts w:hint="eastAsia" w:ascii="黑体" w:hAnsi="黑体" w:eastAsia="黑体" w:cs="黑体"/>
              <w:szCs w:val="32"/>
            </w:rPr>
            <w:t>五、一</w:t>
          </w:r>
          <w:r>
            <w:rPr>
              <w:rFonts w:hint="eastAsia" w:ascii="黑体" w:hAnsi="黑体" w:eastAsia="黑体" w:cs="黑体"/>
            </w:rPr>
            <w:t>般公共预算财政拨款支出决算情况说明</w:t>
          </w:r>
          <w:r>
            <w:tab/>
          </w:r>
          <w:r>
            <w:fldChar w:fldCharType="begin"/>
          </w:r>
          <w:r>
            <w:instrText xml:space="preserve"> PAGEREF _Toc7239 \h </w:instrText>
          </w:r>
          <w:r>
            <w:fldChar w:fldCharType="separate"/>
          </w:r>
          <w:r>
            <w:t>4</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_Toc12286 </w:instrText>
          </w:r>
          <w:r>
            <w:rPr>
              <w:rFonts w:asciiTheme="minorEastAsia" w:hAnsiTheme="minorEastAsia" w:eastAsiaTheme="minorEastAsia" w:cstheme="minorEastAsia"/>
              <w:szCs w:val="28"/>
            </w:rPr>
            <w:fldChar w:fldCharType="separate"/>
          </w:r>
          <w:r>
            <w:rPr>
              <w:rFonts w:hint="eastAsia" w:ascii="黑体" w:hAnsi="黑体" w:eastAsia="黑体" w:cs="黑体"/>
              <w:szCs w:val="32"/>
            </w:rPr>
            <w:t>六、一</w:t>
          </w:r>
          <w:r>
            <w:rPr>
              <w:rFonts w:hint="eastAsia" w:ascii="黑体" w:hAnsi="黑体" w:eastAsia="黑体" w:cs="黑体"/>
            </w:rPr>
            <w:t>般公共预算财政拨款基本支出决算情况说明</w:t>
          </w:r>
          <w:r>
            <w:tab/>
          </w:r>
          <w:r>
            <w:fldChar w:fldCharType="begin"/>
          </w:r>
          <w:r>
            <w:instrText xml:space="preserve"> PAGEREF _Toc12286 \h </w:instrText>
          </w:r>
          <w:r>
            <w:fldChar w:fldCharType="separate"/>
          </w:r>
          <w:r>
            <w:t>7</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_Toc2979 </w:instrText>
          </w:r>
          <w:r>
            <w:rPr>
              <w:rFonts w:asciiTheme="minorEastAsia" w:hAnsiTheme="minorEastAsia" w:eastAsiaTheme="minorEastAsia" w:cstheme="minorEastAsia"/>
              <w:szCs w:val="28"/>
            </w:rPr>
            <w:fldChar w:fldCharType="separate"/>
          </w:r>
          <w:r>
            <w:rPr>
              <w:rFonts w:hint="eastAsia" w:ascii="黑体" w:hAnsi="黑体" w:eastAsia="黑体" w:cs="黑体"/>
              <w:szCs w:val="32"/>
            </w:rPr>
            <w:t>七、</w:t>
          </w:r>
          <w:r>
            <w:rPr>
              <w:rFonts w:hint="eastAsia" w:ascii="黑体" w:hAnsi="黑体" w:eastAsia="黑体" w:cs="黑体"/>
            </w:rPr>
            <w:t>财政拨款“三公”经费支出决算情况说明</w:t>
          </w:r>
          <w:r>
            <w:tab/>
          </w:r>
          <w:r>
            <w:fldChar w:fldCharType="begin"/>
          </w:r>
          <w:r>
            <w:instrText xml:space="preserve"> PAGEREF _Toc2979 \h </w:instrText>
          </w:r>
          <w:r>
            <w:fldChar w:fldCharType="separate"/>
          </w:r>
          <w:r>
            <w:t>7</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_Toc14914 </w:instrText>
          </w:r>
          <w:r>
            <w:rPr>
              <w:rFonts w:asciiTheme="minorEastAsia" w:hAnsiTheme="minorEastAsia" w:eastAsiaTheme="minorEastAsia" w:cstheme="minorEastAsia"/>
              <w:szCs w:val="28"/>
            </w:rPr>
            <w:fldChar w:fldCharType="separate"/>
          </w:r>
          <w:r>
            <w:rPr>
              <w:rFonts w:hint="eastAsia" w:ascii="黑体" w:hAnsi="黑体" w:eastAsia="黑体" w:cs="黑体"/>
              <w:bCs/>
              <w:szCs w:val="32"/>
            </w:rPr>
            <w:t>八、</w:t>
          </w:r>
          <w:r>
            <w:rPr>
              <w:rFonts w:hint="eastAsia" w:ascii="黑体" w:hAnsi="黑体" w:eastAsia="黑体" w:cs="黑体"/>
            </w:rPr>
            <w:t>政府性基金预算支出决算情况说明</w:t>
          </w:r>
          <w:r>
            <w:tab/>
          </w:r>
          <w:r>
            <w:fldChar w:fldCharType="begin"/>
          </w:r>
          <w:r>
            <w:instrText xml:space="preserve"> PAGEREF _Toc14914 \h </w:instrText>
          </w:r>
          <w:r>
            <w:fldChar w:fldCharType="separate"/>
          </w:r>
          <w:r>
            <w:t>9</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_Toc14754 </w:instrText>
          </w:r>
          <w:r>
            <w:rPr>
              <w:rFonts w:asciiTheme="minorEastAsia" w:hAnsiTheme="minorEastAsia" w:eastAsiaTheme="minorEastAsia" w:cstheme="minorEastAsia"/>
              <w:szCs w:val="28"/>
            </w:rPr>
            <w:fldChar w:fldCharType="separate"/>
          </w:r>
          <w:r>
            <w:rPr>
              <w:rFonts w:hint="eastAsia" w:ascii="黑体" w:hAnsi="黑体" w:eastAsia="黑体" w:cs="黑体"/>
            </w:rPr>
            <w:t>九、国有资本经营预算支出决算情况说明</w:t>
          </w:r>
          <w:r>
            <w:tab/>
          </w:r>
          <w:r>
            <w:fldChar w:fldCharType="begin"/>
          </w:r>
          <w:r>
            <w:instrText xml:space="preserve"> PAGEREF _Toc14754 \h </w:instrText>
          </w:r>
          <w:r>
            <w:fldChar w:fldCharType="separate"/>
          </w:r>
          <w:r>
            <w:t>9</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rPr>
              <w:rFonts w:hint="default" w:asciiTheme="minorEastAsia" w:hAnsiTheme="minorEastAsia" w:eastAsiaTheme="minorEastAsia" w:cstheme="minorEastAsia"/>
              <w:szCs w:val="28"/>
              <w:lang w:eastAsia="zh-CN"/>
            </w:rPr>
          </w:pPr>
          <w:r>
            <w:rPr>
              <w:rFonts w:hint="eastAsia" w:asciiTheme="minorEastAsia" w:hAnsiTheme="minorEastAsia" w:eastAsiaTheme="minorEastAsia" w:cstheme="minorEastAsia"/>
              <w:szCs w:val="28"/>
              <w:lang w:val="en-US" w:eastAsia="zh-CN"/>
            </w:rPr>
            <w:t>十、其他重要事项的情况说明</w:t>
          </w:r>
          <w:r>
            <w:rPr>
              <w:rFonts w:asciiTheme="minorEastAsia" w:hAnsiTheme="minorEastAsia" w:eastAsiaTheme="minorEastAsia" w:cstheme="minorEastAsia"/>
              <w:szCs w:val="28"/>
            </w:rPr>
            <w:tab/>
          </w:r>
          <w:r>
            <w:rPr>
              <w:rFonts w:asciiTheme="minorEastAsia" w:hAnsiTheme="minorEastAsia" w:eastAsiaTheme="minorEastAsia" w:cstheme="minorEastAsia"/>
              <w:szCs w:val="28"/>
            </w:rPr>
            <w:t>9</w:t>
          </w:r>
        </w:p>
        <w:p>
          <w:pPr>
            <w:pStyle w:val="10"/>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_Toc29790 </w:instrText>
          </w:r>
          <w:r>
            <w:rPr>
              <w:rFonts w:asciiTheme="minorEastAsia" w:hAnsiTheme="minorEastAsia" w:eastAsiaTheme="minorEastAsia" w:cstheme="minorEastAsia"/>
              <w:szCs w:val="28"/>
            </w:rPr>
            <w:fldChar w:fldCharType="separate"/>
          </w:r>
          <w:r>
            <w:rPr>
              <w:rFonts w:hint="eastAsia" w:asciiTheme="majorEastAsia" w:hAnsiTheme="majorEastAsia" w:eastAsiaTheme="majorEastAsia" w:cstheme="majorEastAsia"/>
              <w:bCs/>
              <w:szCs w:val="44"/>
            </w:rPr>
            <w:t>第三部分 名词解释</w:t>
          </w:r>
          <w:r>
            <w:tab/>
          </w:r>
          <w:r>
            <w:fldChar w:fldCharType="begin"/>
          </w:r>
          <w:r>
            <w:instrText xml:space="preserve"> PAGEREF _Toc29790 \h </w:instrText>
          </w:r>
          <w:r>
            <w:fldChar w:fldCharType="separate"/>
          </w:r>
          <w:r>
            <w:t>11</w:t>
          </w:r>
          <w:r>
            <w:fldChar w:fldCharType="end"/>
          </w:r>
          <w:r>
            <w:rPr>
              <w:rFonts w:asciiTheme="minorEastAsia" w:hAnsiTheme="minorEastAsia" w:eastAsiaTheme="minorEastAsia" w:cstheme="minorEastAsia"/>
              <w:szCs w:val="28"/>
            </w:rPr>
            <w:fldChar w:fldCharType="end"/>
          </w:r>
        </w:p>
        <w:p>
          <w:pPr>
            <w:pStyle w:val="10"/>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_Toc20524 </w:instrText>
          </w:r>
          <w:r>
            <w:rPr>
              <w:rFonts w:asciiTheme="minorEastAsia" w:hAnsiTheme="minorEastAsia" w:eastAsiaTheme="minorEastAsia" w:cstheme="minorEastAsia"/>
              <w:szCs w:val="28"/>
            </w:rPr>
            <w:fldChar w:fldCharType="separate"/>
          </w:r>
          <w:r>
            <w:rPr>
              <w:rFonts w:hint="eastAsia" w:asciiTheme="majorEastAsia" w:hAnsiTheme="majorEastAsia" w:eastAsiaTheme="majorEastAsia" w:cstheme="majorEastAsia"/>
            </w:rPr>
            <w:t>第四部分 附件</w:t>
          </w:r>
          <w:r>
            <w:tab/>
          </w:r>
          <w:r>
            <w:fldChar w:fldCharType="begin"/>
          </w:r>
          <w:r>
            <w:instrText xml:space="preserve"> PAGEREF _Toc20524 \h </w:instrText>
          </w:r>
          <w:r>
            <w:fldChar w:fldCharType="separate"/>
          </w:r>
          <w:r>
            <w:t>13</w:t>
          </w:r>
          <w:r>
            <w:fldChar w:fldCharType="end"/>
          </w:r>
          <w:r>
            <w:rPr>
              <w:rFonts w:asciiTheme="minorEastAsia" w:hAnsiTheme="minorEastAsia" w:eastAsiaTheme="minorEastAsia" w:cstheme="minorEastAsia"/>
              <w:szCs w:val="28"/>
            </w:rPr>
            <w:fldChar w:fldCharType="end"/>
          </w:r>
        </w:p>
        <w:p>
          <w:pPr>
            <w:pStyle w:val="10"/>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_Toc9251 </w:instrText>
          </w:r>
          <w:r>
            <w:rPr>
              <w:rFonts w:asciiTheme="minorEastAsia" w:hAnsiTheme="minorEastAsia" w:eastAsiaTheme="minorEastAsia" w:cstheme="minorEastAsia"/>
              <w:szCs w:val="28"/>
            </w:rPr>
            <w:fldChar w:fldCharType="separate"/>
          </w:r>
          <w:r>
            <w:rPr>
              <w:rFonts w:hint="eastAsia" w:asciiTheme="majorEastAsia" w:hAnsiTheme="majorEastAsia" w:eastAsiaTheme="majorEastAsia" w:cstheme="majorEastAsia"/>
              <w:bCs/>
              <w:szCs w:val="44"/>
            </w:rPr>
            <w:t>第</w:t>
          </w:r>
          <w:r>
            <w:rPr>
              <w:rFonts w:hint="eastAsia" w:asciiTheme="majorEastAsia" w:hAnsiTheme="majorEastAsia" w:eastAsiaTheme="majorEastAsia" w:cstheme="majorEastAsia"/>
            </w:rPr>
            <w:t>五部分 附表</w:t>
          </w:r>
          <w:r>
            <w:tab/>
          </w:r>
          <w:r>
            <w:fldChar w:fldCharType="begin"/>
          </w:r>
          <w:r>
            <w:instrText xml:space="preserve"> PAGEREF _Toc9251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_Toc9862 </w:instrText>
          </w:r>
          <w:r>
            <w:rPr>
              <w:rFonts w:asciiTheme="minorEastAsia" w:hAnsiTheme="minorEastAsia" w:eastAsiaTheme="minorEastAsia" w:cstheme="minorEastAsia"/>
              <w:szCs w:val="28"/>
            </w:rPr>
            <w:fldChar w:fldCharType="separate"/>
          </w:r>
          <w:r>
            <w:rPr>
              <w:rFonts w:hint="eastAsia" w:ascii="黑体" w:hAnsi="黑体" w:eastAsia="黑体" w:cs="黑体"/>
            </w:rPr>
            <w:t>一、</w:t>
          </w:r>
          <w:r>
            <w:rPr>
              <w:rFonts w:hint="eastAsia" w:ascii="仿宋" w:hAnsi="仿宋" w:eastAsia="仿宋"/>
            </w:rPr>
            <w:t>收</w:t>
          </w:r>
          <w:r>
            <w:rPr>
              <w:rFonts w:hint="eastAsia" w:ascii="仿宋" w:hAnsi="仿宋" w:eastAsia="仿宋"/>
              <w:bCs w:val="0"/>
            </w:rPr>
            <w:t>入支出决算总表</w:t>
          </w:r>
          <w:r>
            <w:tab/>
          </w:r>
          <w:r>
            <w:fldChar w:fldCharType="begin"/>
          </w:r>
          <w:r>
            <w:instrText xml:space="preserve"> PAGEREF _Toc9862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_Toc18226 </w:instrText>
          </w:r>
          <w:r>
            <w:rPr>
              <w:rFonts w:asciiTheme="minorEastAsia" w:hAnsiTheme="minorEastAsia" w:eastAsiaTheme="minorEastAsia" w:cstheme="minorEastAsia"/>
              <w:szCs w:val="28"/>
            </w:rPr>
            <w:fldChar w:fldCharType="separate"/>
          </w:r>
          <w:r>
            <w:rPr>
              <w:rFonts w:hint="eastAsia" w:ascii="黑体" w:hAnsi="黑体" w:eastAsia="黑体" w:cs="黑体"/>
            </w:rPr>
            <w:t>二、</w:t>
          </w:r>
          <w:r>
            <w:rPr>
              <w:rFonts w:hint="eastAsia" w:ascii="仿宋" w:hAnsi="仿宋" w:eastAsia="仿宋"/>
            </w:rPr>
            <w:t>收</w:t>
          </w:r>
          <w:r>
            <w:rPr>
              <w:rFonts w:hint="eastAsia" w:ascii="仿宋" w:hAnsi="仿宋" w:eastAsia="仿宋"/>
              <w:bCs w:val="0"/>
            </w:rPr>
            <w:t>入决算表、</w:t>
          </w:r>
          <w:r>
            <w:tab/>
          </w:r>
          <w:r>
            <w:fldChar w:fldCharType="begin"/>
          </w:r>
          <w:r>
            <w:instrText xml:space="preserve"> PAGEREF _Toc18226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_Toc17823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_Toc17823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_Toc24888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_Toc24888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_Toc24895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_Toc24895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_Toc25187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_Toc25187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_Toc11838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_Toc11838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_Toc9220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_Toc9220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_Toc8475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_Toc8475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_Toc3917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_Toc3917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_Toc21060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_Toc21060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_Toc26347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十二、</w:t>
          </w:r>
          <w:r>
            <w:rPr>
              <w:rFonts w:hint="eastAsia" w:ascii="仿宋" w:hAnsi="仿宋" w:eastAsia="仿宋"/>
              <w:bCs w:val="0"/>
            </w:rPr>
            <w:t>国有资本经营预算财政拨款支出决算表</w:t>
          </w:r>
          <w:r>
            <w:tab/>
          </w:r>
          <w:r>
            <w:fldChar w:fldCharType="begin"/>
          </w:r>
          <w:r>
            <w:instrText xml:space="preserve"> PAGEREF _Toc26347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11"/>
            <w:tabs>
              <w:tab w:val="right" w:leader="dot" w:pos="8306"/>
              <w:tab w:val="clear" w:pos="8296"/>
            </w:tabs>
          </w:pPr>
          <w:r>
            <w:rPr>
              <w:rFonts w:asciiTheme="minorEastAsia" w:hAnsiTheme="minorEastAsia" w:eastAsiaTheme="minorEastAsia" w:cstheme="minorEastAsia"/>
              <w:szCs w:val="28"/>
            </w:rPr>
            <w:fldChar w:fldCharType="begin"/>
          </w:r>
          <w:r>
            <w:rPr>
              <w:rFonts w:asciiTheme="minorEastAsia" w:hAnsiTheme="minorEastAsia" w:eastAsiaTheme="minorEastAsia" w:cstheme="minorEastAsia"/>
              <w:szCs w:val="28"/>
            </w:rPr>
            <w:instrText xml:space="preserve"> HYPERLINK \l _Toc15809 </w:instrText>
          </w:r>
          <w:r>
            <w:rPr>
              <w:rFonts w:asciiTheme="minorEastAsia" w:hAnsiTheme="minorEastAsia" w:eastAsiaTheme="minorEastAsia" w:cstheme="minorEastAsia"/>
              <w:szCs w:val="28"/>
            </w:rPr>
            <w:fldChar w:fldCharType="separate"/>
          </w:r>
          <w:r>
            <w:rPr>
              <w:rFonts w:hint="eastAsia" w:ascii="黑体" w:hAnsi="黑体" w:eastAsia="黑体" w:cs="黑体"/>
              <w:bCs w:val="0"/>
            </w:rPr>
            <w:t>十三、</w:t>
          </w:r>
          <w:r>
            <w:rPr>
              <w:rFonts w:hint="eastAsia" w:ascii="仿宋" w:hAnsi="仿宋" w:eastAsia="仿宋"/>
              <w:bCs w:val="0"/>
            </w:rPr>
            <w:t>财政拨款“三公”经费支出决算表</w:t>
          </w:r>
          <w:r>
            <w:tab/>
          </w:r>
          <w:r>
            <w:fldChar w:fldCharType="begin"/>
          </w:r>
          <w:r>
            <w:instrText xml:space="preserve"> PAGEREF _Toc15809 \h </w:instrText>
          </w:r>
          <w:r>
            <w:fldChar w:fldCharType="separate"/>
          </w:r>
          <w:r>
            <w:t>30</w:t>
          </w:r>
          <w:r>
            <w:fldChar w:fldCharType="end"/>
          </w:r>
          <w:r>
            <w:rPr>
              <w:rFonts w:asciiTheme="minorEastAsia" w:hAnsiTheme="minorEastAsia" w:eastAsiaTheme="minorEastAsia" w:cstheme="minorEastAsia"/>
              <w:szCs w:val="28"/>
            </w:rPr>
            <w:fldChar w:fldCharType="end"/>
          </w:r>
        </w:p>
        <w:p>
          <w:pPr>
            <w:pStyle w:val="3"/>
            <w:spacing w:before="0" w:after="0" w:line="576" w:lineRule="exact"/>
            <w:ind w:firstLine="883" w:firstLineChars="200"/>
            <w:jc w:val="distribute"/>
            <w:rPr>
              <w:rFonts w:asciiTheme="minorEastAsia" w:hAnsiTheme="minorEastAsia" w:eastAsiaTheme="minorEastAsia" w:cstheme="minorEastAsia"/>
              <w:b w:val="0"/>
              <w:sz w:val="28"/>
              <w:szCs w:val="28"/>
            </w:rPr>
            <w:sectPr>
              <w:headerReference r:id="rId4" w:type="first"/>
              <w:headerReference r:id="rId3" w:type="default"/>
              <w:pgSz w:w="11906" w:h="16838"/>
              <w:pgMar w:top="1440" w:right="1800" w:bottom="1440" w:left="1800" w:header="851" w:footer="992" w:gutter="0"/>
              <w:pgNumType w:start="1"/>
              <w:cols w:space="425" w:num="1"/>
              <w:titlePg/>
              <w:docGrid w:type="lines" w:linePitch="312" w:charSpace="0"/>
            </w:sectPr>
          </w:pPr>
          <w:r>
            <w:rPr>
              <w:rFonts w:asciiTheme="minorEastAsia" w:hAnsiTheme="minorEastAsia" w:eastAsiaTheme="minorEastAsia" w:cstheme="minorEastAsia"/>
              <w:szCs w:val="28"/>
            </w:rPr>
            <w:fldChar w:fldCharType="end"/>
          </w:r>
        </w:p>
      </w:sdtContent>
    </w:sdt>
    <w:p>
      <w:pPr>
        <w:pStyle w:val="3"/>
        <w:spacing w:before="0" w:after="0" w:line="576" w:lineRule="exact"/>
        <w:jc w:val="center"/>
        <w:rPr>
          <w:rStyle w:val="24"/>
          <w:rFonts w:asciiTheme="majorEastAsia" w:hAnsiTheme="majorEastAsia" w:eastAsiaTheme="majorEastAsia" w:cstheme="majorEastAsia"/>
          <w:b/>
          <w:bCs w:val="0"/>
        </w:rPr>
      </w:pPr>
      <w:bookmarkStart w:id="16" w:name="_Toc21270"/>
      <w:r>
        <w:rPr>
          <w:rFonts w:hint="eastAsia" w:asciiTheme="majorEastAsia" w:hAnsiTheme="majorEastAsia" w:eastAsiaTheme="majorEastAsia" w:cstheme="majorEastAsia"/>
          <w:bCs w:val="0"/>
        </w:rPr>
        <w:t>第一部分 单位</w:t>
      </w:r>
      <w:r>
        <w:rPr>
          <w:rStyle w:val="24"/>
          <w:rFonts w:hint="eastAsia" w:asciiTheme="majorEastAsia" w:hAnsiTheme="majorEastAsia" w:eastAsiaTheme="majorEastAsia" w:cstheme="majorEastAsia"/>
          <w:b/>
          <w:bCs w:val="0"/>
        </w:rPr>
        <w:t>概况</w:t>
      </w:r>
      <w:bookmarkEnd w:id="14"/>
      <w:bookmarkEnd w:id="15"/>
      <w:bookmarkEnd w:id="16"/>
    </w:p>
    <w:p>
      <w:pPr>
        <w:widowControl/>
        <w:spacing w:line="576" w:lineRule="exact"/>
        <w:ind w:firstLine="640" w:firstLineChars="200"/>
        <w:rPr>
          <w:rFonts w:ascii="黑体" w:eastAsia="黑体"/>
          <w:sz w:val="32"/>
          <w:szCs w:val="32"/>
        </w:rPr>
      </w:pPr>
    </w:p>
    <w:p>
      <w:pPr>
        <w:pStyle w:val="4"/>
        <w:numPr>
          <w:ilvl w:val="0"/>
          <w:numId w:val="1"/>
        </w:numPr>
        <w:spacing w:before="0" w:after="0" w:line="576" w:lineRule="exact"/>
        <w:ind w:firstLine="640" w:firstLineChars="200"/>
        <w:rPr>
          <w:rStyle w:val="25"/>
          <w:rFonts w:ascii="黑体" w:hAnsi="黑体" w:eastAsia="黑体"/>
          <w:b w:val="0"/>
          <w:bCs w:val="0"/>
        </w:rPr>
      </w:pPr>
      <w:bookmarkStart w:id="17" w:name="_Toc13297"/>
      <w:bookmarkStart w:id="18" w:name="_Toc15377197"/>
      <w:bookmarkStart w:id="19" w:name="_Toc15396600"/>
      <w:r>
        <w:rPr>
          <w:rStyle w:val="25"/>
          <w:rFonts w:hint="eastAsia" w:ascii="黑体" w:hAnsi="黑体" w:eastAsia="黑体"/>
          <w:b w:val="0"/>
          <w:bCs w:val="0"/>
        </w:rPr>
        <w:t>主要职责</w:t>
      </w:r>
      <w:bookmarkEnd w:id="17"/>
    </w:p>
    <w:p>
      <w:pPr>
        <w:pStyle w:val="23"/>
        <w:spacing w:line="576" w:lineRule="exact"/>
        <w:ind w:firstLine="640"/>
      </w:pPr>
      <w:r>
        <w:rPr>
          <w:rFonts w:hint="eastAsia" w:ascii="仿宋" w:hAnsi="仿宋" w:eastAsia="仿宋"/>
          <w:sz w:val="32"/>
          <w:szCs w:val="32"/>
        </w:rPr>
        <w:t xml:space="preserve">承担文物藏品安全、管理和利用工作；负责征集、典藏、陈列、研究代表自然和人类文化遗产的实物；负责广元文物考古调查、勘探、发掘、清理、保护工作；举办各类专题陈列展览；开展文博研究和学术交流活动。  </w:t>
      </w:r>
    </w:p>
    <w:p>
      <w:pPr>
        <w:pStyle w:val="4"/>
        <w:spacing w:before="0" w:after="0" w:line="576" w:lineRule="exact"/>
        <w:ind w:firstLine="640" w:firstLineChars="200"/>
        <w:rPr>
          <w:rFonts w:ascii="黑体" w:hAnsi="黑体" w:eastAsia="黑体"/>
          <w:b w:val="0"/>
        </w:rPr>
      </w:pPr>
      <w:bookmarkStart w:id="20" w:name="_Toc25246"/>
      <w:r>
        <w:rPr>
          <w:rFonts w:hint="eastAsia" w:ascii="黑体" w:hAnsi="黑体" w:eastAsia="黑体"/>
          <w:b w:val="0"/>
        </w:rPr>
        <w:t>二、机构设置</w:t>
      </w:r>
      <w:bookmarkEnd w:id="20"/>
    </w:p>
    <w:bookmarkEnd w:id="18"/>
    <w:bookmarkEnd w:id="19"/>
    <w:p>
      <w:pPr>
        <w:keepNext w:val="0"/>
        <w:keepLines w:val="0"/>
        <w:widowControl/>
        <w:suppressLineNumbers w:val="0"/>
        <w:snapToGrid w:val="0"/>
        <w:spacing w:before="0" w:beforeAutospacing="1" w:after="0" w:afterAutospacing="1" w:line="576" w:lineRule="exact"/>
        <w:ind w:left="0" w:right="0" w:firstLine="640" w:firstLineChars="200"/>
        <w:jc w:val="left"/>
        <w:rPr>
          <w:rFonts w:ascii="仿宋" w:hAnsi="仿宋" w:eastAsia="仿宋"/>
          <w:sz w:val="30"/>
          <w:szCs w:val="30"/>
        </w:rPr>
      </w:pPr>
      <w:r>
        <w:rPr>
          <w:rFonts w:ascii="仿宋" w:hAnsi="仿宋" w:eastAsia="仿宋" w:cs="仿宋"/>
          <w:kern w:val="2"/>
          <w:sz w:val="32"/>
          <w:szCs w:val="32"/>
          <w:lang w:eastAsia="zh-CN" w:bidi="ar"/>
        </w:rPr>
        <w:t>广元市博物馆</w:t>
      </w:r>
      <w:r>
        <w:rPr>
          <w:rFonts w:ascii="仿宋" w:hAnsi="仿宋" w:eastAsia="仿宋" w:cs="仿宋"/>
          <w:kern w:val="2"/>
          <w:sz w:val="32"/>
          <w:szCs w:val="32"/>
          <w:lang w:val="en-US" w:eastAsia="zh-CN" w:bidi="ar"/>
        </w:rPr>
        <w:t>属于</w:t>
      </w:r>
      <w:r>
        <w:rPr>
          <w:rFonts w:hint="default" w:ascii="仿宋" w:hAnsi="仿宋" w:eastAsia="仿宋" w:cs="仿宋"/>
          <w:kern w:val="2"/>
          <w:sz w:val="32"/>
          <w:szCs w:val="32"/>
          <w:lang w:val="en-US" w:eastAsia="zh-CN" w:bidi="ar"/>
        </w:rPr>
        <w:t>广元市文化广播电视和旅游局下属的二级预算单位，下设独立编制机构1个，其中行政机关0个，参照公务员法管理的事业机构0个，其他事业机构1个。</w:t>
      </w:r>
      <w:r>
        <w:rPr>
          <w:rFonts w:hint="eastAsia" w:ascii="仿宋" w:hAnsi="仿宋" w:eastAsia="仿宋"/>
          <w:sz w:val="30"/>
          <w:szCs w:val="30"/>
        </w:rPr>
        <w:t>我馆设4部1室，办公室、安保部宣教部、典藏部及展陈部。</w:t>
      </w:r>
    </w:p>
    <w:p>
      <w:pPr>
        <w:widowControl/>
        <w:spacing w:line="576" w:lineRule="exact"/>
        <w:ind w:firstLine="640" w:firstLineChars="200"/>
        <w:rPr>
          <w:rFonts w:ascii="仿宋" w:hAnsi="仿宋" w:eastAsia="仿宋"/>
          <w:kern w:val="0"/>
          <w:sz w:val="32"/>
          <w:szCs w:val="32"/>
        </w:rPr>
      </w:pPr>
      <w:r>
        <w:rPr>
          <w:rFonts w:ascii="仿宋" w:hAnsi="仿宋" w:eastAsia="仿宋"/>
          <w:sz w:val="32"/>
          <w:szCs w:val="32"/>
        </w:rPr>
        <w:br w:type="page"/>
      </w:r>
    </w:p>
    <w:p>
      <w:pPr>
        <w:pStyle w:val="3"/>
        <w:spacing w:before="0" w:after="0" w:line="576" w:lineRule="exact"/>
        <w:jc w:val="center"/>
        <w:rPr>
          <w:rStyle w:val="24"/>
          <w:rFonts w:asciiTheme="majorEastAsia" w:hAnsiTheme="majorEastAsia" w:eastAsiaTheme="majorEastAsia" w:cstheme="majorEastAsia"/>
          <w:b/>
          <w:bCs w:val="0"/>
        </w:rPr>
      </w:pPr>
      <w:bookmarkStart w:id="21" w:name="_Toc15377204"/>
      <w:bookmarkStart w:id="22" w:name="_Toc12556"/>
      <w:bookmarkStart w:id="23" w:name="_Toc15396602"/>
      <w:r>
        <w:rPr>
          <w:rFonts w:hint="eastAsia" w:asciiTheme="majorEastAsia" w:hAnsiTheme="majorEastAsia" w:eastAsiaTheme="majorEastAsia" w:cstheme="majorEastAsia"/>
          <w:bCs w:val="0"/>
        </w:rPr>
        <w:t>第二部分 2022年度</w:t>
      </w:r>
      <w:r>
        <w:rPr>
          <w:rStyle w:val="24"/>
          <w:rFonts w:hint="eastAsia" w:asciiTheme="majorEastAsia" w:hAnsiTheme="majorEastAsia" w:eastAsiaTheme="majorEastAsia" w:cstheme="majorEastAsia"/>
          <w:b/>
          <w:bCs w:val="0"/>
        </w:rPr>
        <w:t>单位决算情况说明</w:t>
      </w:r>
      <w:bookmarkEnd w:id="21"/>
      <w:bookmarkEnd w:id="22"/>
      <w:bookmarkEnd w:id="23"/>
    </w:p>
    <w:p>
      <w:pPr>
        <w:spacing w:line="576" w:lineRule="exact"/>
        <w:ind w:firstLine="420" w:firstLineChars="200"/>
      </w:pPr>
    </w:p>
    <w:p>
      <w:pPr>
        <w:pStyle w:val="23"/>
        <w:spacing w:line="576" w:lineRule="exact"/>
        <w:ind w:firstLine="640"/>
        <w:outlineLvl w:val="1"/>
        <w:rPr>
          <w:rStyle w:val="25"/>
          <w:rFonts w:ascii="黑体" w:hAnsi="黑体" w:eastAsia="黑体"/>
          <w:b w:val="0"/>
        </w:rPr>
      </w:pPr>
      <w:bookmarkStart w:id="24" w:name="_Toc15377205"/>
      <w:bookmarkStart w:id="25" w:name="_Toc3023"/>
      <w:bookmarkStart w:id="26" w:name="_Toc15396603"/>
      <w:r>
        <w:rPr>
          <w:rFonts w:hint="eastAsia" w:ascii="黑体" w:hAnsi="黑体" w:eastAsia="黑体"/>
          <w:sz w:val="32"/>
          <w:szCs w:val="32"/>
        </w:rPr>
        <w:t>一、收</w:t>
      </w:r>
      <w:r>
        <w:rPr>
          <w:rStyle w:val="25"/>
          <w:rFonts w:hint="eastAsia" w:ascii="黑体" w:hAnsi="黑体" w:eastAsia="黑体"/>
          <w:b w:val="0"/>
        </w:rPr>
        <w:t>入支出决算总体情况说明</w:t>
      </w:r>
      <w:bookmarkEnd w:id="24"/>
      <w:bookmarkEnd w:id="25"/>
      <w:bookmarkEnd w:id="26"/>
    </w:p>
    <w:p>
      <w:pPr>
        <w:spacing w:line="576" w:lineRule="exact"/>
        <w:ind w:firstLine="640" w:firstLineChars="200"/>
        <w:rPr>
          <w:rFonts w:ascii="华文仿宋" w:hAnsi="华文仿宋" w:eastAsia="华文仿宋"/>
          <w:color w:val="000000"/>
          <w:sz w:val="32"/>
          <w:szCs w:val="32"/>
        </w:rPr>
      </w:pPr>
      <w:r>
        <w:rPr>
          <w:rFonts w:hint="eastAsia" w:ascii="华文仿宋" w:hAnsi="华文仿宋" w:eastAsia="华文仿宋"/>
          <w:sz w:val="32"/>
          <w:szCs w:val="32"/>
        </w:rPr>
        <w:t>2022年度收、支总计443.66万元。与2021年相比，收、支总计各增加14.26万元，增长3.3</w:t>
      </w:r>
      <w:r>
        <w:rPr>
          <w:rFonts w:ascii="华文仿宋" w:hAnsi="华文仿宋" w:eastAsia="华文仿宋"/>
          <w:sz w:val="32"/>
          <w:szCs w:val="32"/>
        </w:rPr>
        <w:t>%</w:t>
      </w:r>
      <w:r>
        <w:rPr>
          <w:rFonts w:hint="eastAsia" w:ascii="华文仿宋" w:hAnsi="华文仿宋" w:eastAsia="华文仿宋"/>
          <w:sz w:val="32"/>
          <w:szCs w:val="32"/>
        </w:rPr>
        <w:t>。主要变动原因是</w:t>
      </w:r>
      <w:r>
        <w:rPr>
          <w:rFonts w:hint="default" w:ascii="华文仿宋" w:hAnsi="华文仿宋" w:eastAsia="华文仿宋"/>
          <w:sz w:val="32"/>
          <w:szCs w:val="32"/>
        </w:rPr>
        <w:t>增加</w:t>
      </w:r>
      <w:r>
        <w:rPr>
          <w:rFonts w:hint="eastAsia" w:ascii="华文仿宋" w:hAnsi="华文仿宋" w:eastAsia="华文仿宋"/>
          <w:color w:val="000000"/>
          <w:sz w:val="32"/>
          <w:szCs w:val="32"/>
        </w:rPr>
        <w:t>博物馆免费开放中央补助项目资金及人员经费。</w:t>
      </w:r>
      <w:bookmarkStart w:id="27" w:name="_1724241502"/>
      <w:bookmarkEnd w:id="27"/>
    </w:p>
    <w:p>
      <w:pPr>
        <w:jc w:val="center"/>
        <w:rPr>
          <w:rFonts w:ascii="华文仿宋" w:hAnsi="华文仿宋" w:eastAsia="华文仿宋"/>
        </w:rPr>
      </w:pPr>
      <w:r>
        <w:rPr>
          <w:rFonts w:hint="eastAsia" w:ascii="华文仿宋" w:hAnsi="华文仿宋" w:eastAsia="华文仿宋"/>
        </w:rPr>
        <w:drawing>
          <wp:inline distT="0" distB="0" distL="114300" distR="114300">
            <wp:extent cx="5256530" cy="3199765"/>
            <wp:effectExtent l="4445" t="4445" r="15875" b="15240"/>
            <wp:docPr id="6" name="图表 6" descr="7b0a202020202263686172745265734964223a2022343632353834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rPr>
          <w:rFonts w:ascii="华文仿宋" w:hAnsi="华文仿宋" w:eastAsia="华文仿宋"/>
          <w:sz w:val="32"/>
          <w:szCs w:val="32"/>
        </w:rPr>
      </w:pPr>
      <w:r>
        <w:rPr>
          <w:rFonts w:hint="eastAsia" w:ascii="楷体" w:hAnsi="楷体" w:eastAsia="楷体" w:cs="楷体"/>
          <w:sz w:val="32"/>
          <w:szCs w:val="32"/>
        </w:rPr>
        <w:t>（图1：收、支决算总计变动情况图）</w:t>
      </w:r>
    </w:p>
    <w:p>
      <w:pPr>
        <w:spacing w:line="600" w:lineRule="exact"/>
        <w:ind w:firstLine="640" w:firstLineChars="200"/>
        <w:jc w:val="left"/>
        <w:rPr>
          <w:rFonts w:ascii="华文仿宋" w:hAnsi="华文仿宋" w:eastAsia="华文仿宋"/>
          <w:sz w:val="32"/>
          <w:szCs w:val="32"/>
        </w:rPr>
      </w:pPr>
    </w:p>
    <w:p>
      <w:pPr>
        <w:pStyle w:val="23"/>
        <w:spacing w:line="576" w:lineRule="exact"/>
        <w:ind w:firstLine="640"/>
        <w:outlineLvl w:val="1"/>
        <w:rPr>
          <w:rStyle w:val="25"/>
          <w:rFonts w:ascii="黑体" w:hAnsi="黑体" w:eastAsia="黑体" w:cs="黑体"/>
          <w:b w:val="0"/>
        </w:rPr>
      </w:pPr>
      <w:bookmarkStart w:id="28" w:name="_Toc15396604"/>
      <w:bookmarkStart w:id="29" w:name="_Toc26898"/>
      <w:bookmarkStart w:id="30" w:name="_Toc15377206"/>
      <w:r>
        <w:rPr>
          <w:rFonts w:hint="eastAsia" w:ascii="黑体" w:hAnsi="黑体" w:eastAsia="黑体" w:cs="黑体"/>
          <w:sz w:val="32"/>
          <w:szCs w:val="32"/>
        </w:rPr>
        <w:t>二、收</w:t>
      </w:r>
      <w:r>
        <w:rPr>
          <w:rStyle w:val="25"/>
          <w:rFonts w:hint="eastAsia" w:ascii="黑体" w:hAnsi="黑体" w:eastAsia="黑体" w:cs="黑体"/>
          <w:b w:val="0"/>
        </w:rPr>
        <w:t>入决算情况说明</w:t>
      </w:r>
      <w:bookmarkEnd w:id="28"/>
      <w:bookmarkEnd w:id="29"/>
      <w:bookmarkEnd w:id="30"/>
    </w:p>
    <w:p>
      <w:pPr>
        <w:spacing w:line="576" w:lineRule="exact"/>
        <w:ind w:firstLine="640" w:firstLineChars="200"/>
        <w:outlineLvl w:val="1"/>
        <w:rPr>
          <w:rFonts w:hint="eastAsia" w:ascii="华文仿宋" w:hAnsi="华文仿宋" w:eastAsia="华文仿宋"/>
          <w:sz w:val="32"/>
          <w:szCs w:val="32"/>
        </w:rPr>
      </w:pPr>
      <w:bookmarkStart w:id="31" w:name="_Toc2453"/>
      <w:r>
        <w:rPr>
          <w:rFonts w:ascii="华文仿宋" w:hAnsi="华文仿宋" w:eastAsia="华文仿宋"/>
          <w:sz w:val="32"/>
          <w:szCs w:val="32"/>
        </w:rPr>
        <w:t>20</w:t>
      </w:r>
      <w:r>
        <w:rPr>
          <w:rFonts w:hint="eastAsia" w:ascii="华文仿宋" w:hAnsi="华文仿宋" w:eastAsia="华文仿宋"/>
          <w:sz w:val="32"/>
          <w:szCs w:val="32"/>
        </w:rPr>
        <w:t>22年本年收入合计441.73万元，其中：一般公共预算财政拨款收入441.4万元，占99.9</w:t>
      </w:r>
      <w:r>
        <w:rPr>
          <w:rFonts w:ascii="华文仿宋" w:hAnsi="华文仿宋" w:eastAsia="华文仿宋"/>
          <w:sz w:val="32"/>
          <w:szCs w:val="32"/>
        </w:rPr>
        <w:t>%</w:t>
      </w:r>
      <w:r>
        <w:rPr>
          <w:rFonts w:hint="eastAsia" w:ascii="华文仿宋" w:hAnsi="华文仿宋" w:eastAsia="华文仿宋"/>
          <w:sz w:val="32"/>
          <w:szCs w:val="32"/>
        </w:rPr>
        <w:t>；其他收入0.33万元，占0.1</w:t>
      </w:r>
      <w:r>
        <w:rPr>
          <w:rFonts w:ascii="华文仿宋" w:hAnsi="华文仿宋" w:eastAsia="华文仿宋"/>
          <w:sz w:val="32"/>
          <w:szCs w:val="32"/>
        </w:rPr>
        <w:t>%</w:t>
      </w:r>
      <w:r>
        <w:rPr>
          <w:rFonts w:hint="eastAsia" w:ascii="华文仿宋" w:hAnsi="华文仿宋" w:eastAsia="华文仿宋"/>
          <w:sz w:val="32"/>
          <w:szCs w:val="32"/>
        </w:rPr>
        <w:t>。</w:t>
      </w:r>
      <w:bookmarkEnd w:id="31"/>
    </w:p>
    <w:p>
      <w:pPr>
        <w:pStyle w:val="2"/>
        <w:jc w:val="center"/>
        <w:rPr>
          <w:rFonts w:hint="default" w:ascii="华文仿宋" w:hAnsi="华文仿宋" w:eastAsia="华文仿宋"/>
          <w:sz w:val="32"/>
          <w:szCs w:val="32"/>
        </w:rPr>
      </w:pPr>
      <w:r>
        <w:rPr>
          <w:rFonts w:hint="default" w:ascii="华文仿宋" w:hAnsi="华文仿宋" w:eastAsia="华文仿宋"/>
          <w:sz w:val="32"/>
          <w:szCs w:val="32"/>
        </w:rPr>
        <w:drawing>
          <wp:inline distT="0" distB="0" distL="114300" distR="114300">
            <wp:extent cx="4229100" cy="2326005"/>
            <wp:effectExtent l="0" t="0" r="0" b="171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9"/>
                    <a:stretch>
                      <a:fillRect/>
                    </a:stretch>
                  </pic:blipFill>
                  <pic:spPr>
                    <a:xfrm>
                      <a:off x="0" y="0"/>
                      <a:ext cx="4229100" cy="2326005"/>
                    </a:xfrm>
                    <a:prstGeom prst="rect">
                      <a:avLst/>
                    </a:prstGeom>
                  </pic:spPr>
                </pic:pic>
              </a:graphicData>
            </a:graphic>
          </wp:inline>
        </w:drawing>
      </w:r>
    </w:p>
    <w:p>
      <w:pPr>
        <w:spacing w:line="600" w:lineRule="exact"/>
        <w:jc w:val="center"/>
        <w:outlineLvl w:val="1"/>
        <w:rPr>
          <w:rFonts w:ascii="楷体" w:hAnsi="楷体" w:eastAsia="楷体" w:cs="楷体"/>
          <w:sz w:val="32"/>
          <w:szCs w:val="32"/>
        </w:rPr>
      </w:pPr>
      <w:bookmarkStart w:id="32" w:name="_Toc15445"/>
      <w:r>
        <w:rPr>
          <w:rFonts w:hint="eastAsia" w:ascii="楷体" w:hAnsi="楷体" w:eastAsia="楷体" w:cs="楷体"/>
          <w:sz w:val="32"/>
          <w:szCs w:val="32"/>
        </w:rPr>
        <w:t>（图2：收入决算结构图）</w:t>
      </w:r>
      <w:bookmarkEnd w:id="32"/>
    </w:p>
    <w:p>
      <w:pPr>
        <w:spacing w:line="576" w:lineRule="exact"/>
        <w:ind w:firstLine="640" w:firstLineChars="200"/>
        <w:rPr>
          <w:rFonts w:ascii="华文仿宋" w:hAnsi="华文仿宋" w:eastAsia="华文仿宋"/>
          <w:sz w:val="32"/>
          <w:szCs w:val="32"/>
        </w:rPr>
      </w:pPr>
    </w:p>
    <w:p>
      <w:pPr>
        <w:pStyle w:val="23"/>
        <w:spacing w:line="576" w:lineRule="exact"/>
        <w:ind w:firstLine="640"/>
        <w:outlineLvl w:val="1"/>
        <w:rPr>
          <w:rStyle w:val="25"/>
          <w:rFonts w:ascii="黑体" w:hAnsi="黑体" w:eastAsia="黑体" w:cs="黑体"/>
          <w:b w:val="0"/>
        </w:rPr>
      </w:pPr>
      <w:bookmarkStart w:id="33" w:name="_Toc15377207"/>
      <w:bookmarkStart w:id="34" w:name="_Toc15396605"/>
      <w:bookmarkStart w:id="35" w:name="_Toc28590"/>
      <w:r>
        <w:rPr>
          <w:rFonts w:hint="eastAsia" w:ascii="黑体" w:hAnsi="黑体" w:eastAsia="黑体" w:cs="黑体"/>
          <w:sz w:val="32"/>
          <w:szCs w:val="32"/>
        </w:rPr>
        <w:t>三、支</w:t>
      </w:r>
      <w:r>
        <w:rPr>
          <w:rStyle w:val="25"/>
          <w:rFonts w:hint="eastAsia" w:ascii="黑体" w:hAnsi="黑体" w:eastAsia="黑体" w:cs="黑体"/>
          <w:b w:val="0"/>
        </w:rPr>
        <w:t>出决算情况说明</w:t>
      </w:r>
      <w:bookmarkEnd w:id="33"/>
      <w:bookmarkEnd w:id="34"/>
      <w:bookmarkEnd w:id="35"/>
    </w:p>
    <w:p>
      <w:pPr>
        <w:keepNext/>
        <w:keepLines/>
        <w:spacing w:line="576" w:lineRule="exact"/>
        <w:ind w:firstLine="640" w:firstLineChars="200"/>
        <w:rPr>
          <w:rFonts w:ascii="华文仿宋" w:hAnsi="华文仿宋" w:eastAsia="华文仿宋"/>
          <w:color w:val="000000"/>
          <w:sz w:val="32"/>
          <w:szCs w:val="32"/>
        </w:rPr>
      </w:pPr>
      <w:r>
        <w:rPr>
          <w:rFonts w:ascii="华文仿宋" w:hAnsi="华文仿宋" w:eastAsia="华文仿宋"/>
          <w:sz w:val="32"/>
          <w:szCs w:val="32"/>
        </w:rPr>
        <w:t>20</w:t>
      </w:r>
      <w:r>
        <w:rPr>
          <w:rFonts w:hint="eastAsia" w:ascii="华文仿宋" w:hAnsi="华文仿宋" w:eastAsia="华文仿宋"/>
          <w:sz w:val="32"/>
          <w:szCs w:val="32"/>
        </w:rPr>
        <w:t>22年本年支出合计436.83万元，其中：基本支出233.21万元，占53.40</w:t>
      </w:r>
      <w:r>
        <w:rPr>
          <w:rFonts w:ascii="华文仿宋" w:hAnsi="华文仿宋" w:eastAsia="华文仿宋"/>
          <w:sz w:val="32"/>
          <w:szCs w:val="32"/>
        </w:rPr>
        <w:t>%</w:t>
      </w:r>
      <w:r>
        <w:rPr>
          <w:rFonts w:hint="eastAsia" w:ascii="华文仿宋" w:hAnsi="华文仿宋" w:eastAsia="华文仿宋"/>
          <w:sz w:val="32"/>
          <w:szCs w:val="32"/>
        </w:rPr>
        <w:t>；项目支出203.62万元，占46.60</w:t>
      </w:r>
      <w:r>
        <w:rPr>
          <w:rFonts w:ascii="华文仿宋" w:hAnsi="华文仿宋" w:eastAsia="华文仿宋"/>
          <w:sz w:val="32"/>
          <w:szCs w:val="32"/>
        </w:rPr>
        <w:t>%</w:t>
      </w:r>
      <w:r>
        <w:rPr>
          <w:rFonts w:hint="eastAsia" w:ascii="华文仿宋" w:hAnsi="华文仿宋" w:eastAsia="华文仿宋"/>
          <w:color w:val="000000"/>
          <w:sz w:val="32"/>
          <w:szCs w:val="32"/>
        </w:rPr>
        <w:t>。</w:t>
      </w:r>
    </w:p>
    <w:p>
      <w:pPr>
        <w:spacing w:line="600" w:lineRule="exact"/>
        <w:ind w:firstLine="640" w:firstLineChars="200"/>
        <w:outlineLvl w:val="1"/>
        <w:rPr>
          <w:rFonts w:ascii="华文仿宋" w:hAnsi="华文仿宋" w:eastAsia="华文仿宋"/>
          <w:sz w:val="32"/>
          <w:szCs w:val="32"/>
        </w:rPr>
      </w:pPr>
    </w:p>
    <w:p>
      <w:pPr>
        <w:jc w:val="center"/>
        <w:rPr>
          <w:rFonts w:ascii="楷体" w:hAnsi="楷体" w:eastAsia="楷体" w:cs="楷体"/>
          <w:sz w:val="32"/>
          <w:szCs w:val="32"/>
        </w:rPr>
      </w:pPr>
      <w:r>
        <w:rPr>
          <w:rFonts w:hint="eastAsia" w:ascii="楷体" w:hAnsi="楷体" w:eastAsia="楷体" w:cs="楷体"/>
          <w:sz w:val="32"/>
          <w:szCs w:val="32"/>
        </w:rPr>
        <w:drawing>
          <wp:anchor distT="0" distB="0" distL="114300" distR="114300" simplePos="0" relativeHeight="251661312" behindDoc="0" locked="0" layoutInCell="1" allowOverlap="1">
            <wp:simplePos x="0" y="0"/>
            <wp:positionH relativeFrom="column">
              <wp:posOffset>-31750</wp:posOffset>
            </wp:positionH>
            <wp:positionV relativeFrom="paragraph">
              <wp:posOffset>174625</wp:posOffset>
            </wp:positionV>
            <wp:extent cx="5256530" cy="2988310"/>
            <wp:effectExtent l="5080" t="4445" r="15240" b="1714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楷体" w:hAnsi="楷体" w:eastAsia="楷体" w:cs="楷体"/>
          <w:sz w:val="32"/>
          <w:szCs w:val="32"/>
        </w:rPr>
        <w:t>（图3：支出决算结构图）</w:t>
      </w:r>
    </w:p>
    <w:p>
      <w:pPr>
        <w:spacing w:line="576" w:lineRule="exact"/>
        <w:ind w:firstLine="640" w:firstLineChars="200"/>
        <w:rPr>
          <w:rFonts w:ascii="华文仿宋" w:hAnsi="华文仿宋" w:eastAsia="华文仿宋"/>
          <w:sz w:val="32"/>
          <w:szCs w:val="32"/>
        </w:rPr>
      </w:pPr>
    </w:p>
    <w:p>
      <w:pPr>
        <w:spacing w:line="576" w:lineRule="exact"/>
        <w:ind w:firstLine="640" w:firstLineChars="200"/>
        <w:outlineLvl w:val="1"/>
        <w:rPr>
          <w:rStyle w:val="25"/>
          <w:rFonts w:ascii="华文仿宋" w:hAnsi="华文仿宋" w:eastAsia="华文仿宋"/>
          <w:b w:val="0"/>
        </w:rPr>
      </w:pPr>
      <w:bookmarkStart w:id="36" w:name="_Toc15396606"/>
      <w:bookmarkStart w:id="37" w:name="_Toc15377208"/>
      <w:bookmarkStart w:id="38" w:name="_Toc6534"/>
      <w:r>
        <w:rPr>
          <w:rFonts w:hint="eastAsia" w:ascii="黑体" w:hAnsi="黑体" w:eastAsia="黑体" w:cs="黑体"/>
          <w:sz w:val="32"/>
          <w:szCs w:val="32"/>
        </w:rPr>
        <w:t>四、财</w:t>
      </w:r>
      <w:r>
        <w:rPr>
          <w:rStyle w:val="25"/>
          <w:rFonts w:hint="eastAsia" w:ascii="黑体" w:hAnsi="黑体" w:eastAsia="黑体" w:cs="黑体"/>
          <w:b w:val="0"/>
        </w:rPr>
        <w:t>政拨款收入支出决算总体情况说明</w:t>
      </w:r>
      <w:bookmarkEnd w:id="36"/>
      <w:bookmarkEnd w:id="37"/>
      <w:bookmarkEnd w:id="38"/>
    </w:p>
    <w:p>
      <w:pPr>
        <w:spacing w:line="576" w:lineRule="exact"/>
        <w:ind w:firstLine="640" w:firstLineChars="200"/>
        <w:rPr>
          <w:rFonts w:ascii="华文仿宋" w:hAnsi="华文仿宋" w:eastAsia="华文仿宋"/>
          <w:color w:val="000000"/>
          <w:sz w:val="32"/>
          <w:szCs w:val="32"/>
        </w:rPr>
      </w:pPr>
      <w:r>
        <w:rPr>
          <w:rFonts w:hint="eastAsia" w:ascii="仿宋" w:hAnsi="仿宋" w:eastAsia="仿宋" w:cs="仿宋"/>
          <w:sz w:val="32"/>
          <w:szCs w:val="32"/>
        </w:rPr>
        <w:t>2022年财政拨款收、支总计443.32万元。与2021年相比，财政拨款收、支总计各增加13.92万元，增长3.2%。主要变动原因是</w:t>
      </w:r>
      <w:r>
        <w:rPr>
          <w:rFonts w:hint="eastAsia" w:ascii="仿宋" w:hAnsi="仿宋" w:eastAsia="仿宋" w:cs="仿宋"/>
          <w:color w:val="000000"/>
          <w:sz w:val="32"/>
          <w:szCs w:val="32"/>
        </w:rPr>
        <w:t>博物馆免费开放中央补助项目资金及人员经费增加。</w:t>
      </w:r>
    </w:p>
    <w:p>
      <w:pPr>
        <w:pStyle w:val="2"/>
        <w:spacing w:before="93"/>
        <w:rPr>
          <w:rFonts w:ascii="华文仿宋" w:hAnsi="华文仿宋" w:eastAsia="华文仿宋"/>
        </w:rPr>
      </w:pPr>
      <w:r>
        <w:rPr>
          <w:rFonts w:hint="eastAsia" w:ascii="华文仿宋" w:hAnsi="华文仿宋" w:eastAsia="华文仿宋"/>
        </w:rPr>
        <w:drawing>
          <wp:inline distT="0" distB="0" distL="114300" distR="114300">
            <wp:extent cx="5256530" cy="3199765"/>
            <wp:effectExtent l="4445" t="4445" r="15875" b="15240"/>
            <wp:docPr id="13" name="图表 13" descr="7b0a202020202263686172745265734964223a2022343632353834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ascii="楷体" w:hAnsi="楷体" w:eastAsia="楷体" w:cs="楷体"/>
          <w:color w:val="FF0000"/>
          <w:sz w:val="32"/>
          <w:szCs w:val="32"/>
        </w:rPr>
      </w:pPr>
      <w:r>
        <w:rPr>
          <w:rFonts w:hint="eastAsia" w:ascii="楷体" w:hAnsi="楷体" w:eastAsia="楷体" w:cs="楷体"/>
          <w:sz w:val="32"/>
          <w:szCs w:val="32"/>
        </w:rPr>
        <w:t>（图4：财政拨款收、支决算总计变动情况）</w:t>
      </w:r>
    </w:p>
    <w:p>
      <w:pPr>
        <w:spacing w:line="600" w:lineRule="exact"/>
        <w:ind w:firstLine="640"/>
        <w:rPr>
          <w:rFonts w:ascii="华文仿宋" w:hAnsi="华文仿宋" w:eastAsia="华文仿宋"/>
          <w:b/>
          <w:sz w:val="32"/>
          <w:szCs w:val="32"/>
        </w:rPr>
      </w:pPr>
    </w:p>
    <w:p>
      <w:pPr>
        <w:spacing w:line="576" w:lineRule="exact"/>
        <w:ind w:firstLine="640" w:firstLineChars="200"/>
        <w:outlineLvl w:val="1"/>
        <w:rPr>
          <w:rStyle w:val="25"/>
          <w:rFonts w:ascii="黑体" w:hAnsi="黑体" w:eastAsia="黑体" w:cs="黑体"/>
          <w:b w:val="0"/>
        </w:rPr>
      </w:pPr>
      <w:bookmarkStart w:id="39" w:name="_Toc7239"/>
      <w:bookmarkStart w:id="40" w:name="_Toc15377209"/>
      <w:bookmarkStart w:id="41" w:name="_Toc15396607"/>
      <w:r>
        <w:rPr>
          <w:rFonts w:hint="eastAsia" w:ascii="黑体" w:hAnsi="黑体" w:eastAsia="黑体" w:cs="黑体"/>
          <w:sz w:val="32"/>
          <w:szCs w:val="32"/>
        </w:rPr>
        <w:t>五、</w:t>
      </w:r>
      <w:r>
        <w:rPr>
          <w:rFonts w:hint="eastAsia" w:ascii="黑体" w:hAnsi="黑体" w:eastAsia="黑体" w:cs="黑体"/>
          <w:b/>
          <w:sz w:val="32"/>
          <w:szCs w:val="32"/>
        </w:rPr>
        <w:t>一</w:t>
      </w:r>
      <w:r>
        <w:rPr>
          <w:rStyle w:val="25"/>
          <w:rFonts w:hint="eastAsia" w:ascii="黑体" w:hAnsi="黑体" w:eastAsia="黑体" w:cs="黑体"/>
          <w:b w:val="0"/>
        </w:rPr>
        <w:t>般公共预算财政拨款支出决算情况说明</w:t>
      </w:r>
      <w:bookmarkEnd w:id="39"/>
      <w:bookmarkEnd w:id="40"/>
      <w:bookmarkEnd w:id="41"/>
    </w:p>
    <w:p>
      <w:pPr>
        <w:spacing w:line="576" w:lineRule="exact"/>
        <w:ind w:firstLine="640" w:firstLineChars="200"/>
        <w:outlineLvl w:val="2"/>
        <w:rPr>
          <w:rFonts w:ascii="楷体" w:hAnsi="楷体" w:eastAsia="楷体" w:cs="楷体"/>
          <w:bCs/>
          <w:sz w:val="32"/>
          <w:szCs w:val="32"/>
        </w:rPr>
      </w:pPr>
      <w:bookmarkStart w:id="42" w:name="_Toc28504"/>
      <w:bookmarkStart w:id="43" w:name="_Toc15377210"/>
      <w:r>
        <w:rPr>
          <w:rFonts w:hint="eastAsia" w:ascii="楷体" w:hAnsi="楷体" w:eastAsia="楷体" w:cs="楷体"/>
          <w:bCs/>
          <w:sz w:val="32"/>
          <w:szCs w:val="32"/>
        </w:rPr>
        <w:t>（一）一般公共预算财政拨款支出决算总体情况</w:t>
      </w:r>
      <w:bookmarkEnd w:id="42"/>
      <w:bookmarkEnd w:id="43"/>
    </w:p>
    <w:p>
      <w:pPr>
        <w:spacing w:line="576" w:lineRule="exact"/>
        <w:ind w:firstLine="640" w:firstLineChars="200"/>
        <w:rPr>
          <w:rFonts w:ascii="华文仿宋" w:hAnsi="华文仿宋" w:eastAsia="华文仿宋"/>
        </w:rPr>
      </w:pPr>
      <w:r>
        <w:rPr>
          <w:rFonts w:ascii="华文仿宋" w:hAnsi="华文仿宋" w:eastAsia="华文仿宋"/>
          <w:sz w:val="32"/>
          <w:szCs w:val="32"/>
        </w:rPr>
        <w:t>20</w:t>
      </w:r>
      <w:r>
        <w:rPr>
          <w:rFonts w:hint="eastAsia" w:ascii="华文仿宋" w:hAnsi="华文仿宋" w:eastAsia="华文仿宋"/>
          <w:sz w:val="32"/>
          <w:szCs w:val="32"/>
        </w:rPr>
        <w:t>22年一般公共预算财政拨款支出436.5万元，占本年支出合计的99.9</w:t>
      </w:r>
      <w:r>
        <w:rPr>
          <w:rFonts w:ascii="华文仿宋" w:hAnsi="华文仿宋" w:eastAsia="华文仿宋"/>
          <w:sz w:val="32"/>
          <w:szCs w:val="32"/>
        </w:rPr>
        <w:t>%</w:t>
      </w:r>
      <w:r>
        <w:rPr>
          <w:rFonts w:hint="eastAsia" w:ascii="华文仿宋" w:hAnsi="华文仿宋" w:eastAsia="华文仿宋"/>
          <w:sz w:val="32"/>
          <w:szCs w:val="32"/>
        </w:rPr>
        <w:t>。与</w:t>
      </w:r>
      <w:r>
        <w:rPr>
          <w:rFonts w:ascii="华文仿宋" w:hAnsi="华文仿宋" w:eastAsia="华文仿宋"/>
          <w:sz w:val="32"/>
          <w:szCs w:val="32"/>
        </w:rPr>
        <w:t>20</w:t>
      </w:r>
      <w:r>
        <w:rPr>
          <w:rFonts w:hint="eastAsia" w:ascii="华文仿宋" w:hAnsi="华文仿宋" w:eastAsia="华文仿宋"/>
          <w:sz w:val="32"/>
          <w:szCs w:val="32"/>
        </w:rPr>
        <w:t>21年相比，一般公共预算财政拨款支出增加7.42万元，增长1.7</w:t>
      </w:r>
      <w:r>
        <w:rPr>
          <w:rFonts w:ascii="华文仿宋" w:hAnsi="华文仿宋" w:eastAsia="华文仿宋"/>
          <w:sz w:val="32"/>
          <w:szCs w:val="32"/>
        </w:rPr>
        <w:t>%</w:t>
      </w:r>
      <w:r>
        <w:rPr>
          <w:rFonts w:hint="eastAsia" w:ascii="华文仿宋" w:hAnsi="华文仿宋" w:eastAsia="华文仿宋"/>
          <w:sz w:val="32"/>
          <w:szCs w:val="32"/>
        </w:rPr>
        <w:t>。</w:t>
      </w:r>
      <w:r>
        <w:rPr>
          <w:rFonts w:hint="eastAsia" w:ascii="华文仿宋" w:hAnsi="华文仿宋" w:eastAsia="华文仿宋"/>
          <w:color w:val="000000"/>
          <w:sz w:val="32"/>
          <w:szCs w:val="32"/>
        </w:rPr>
        <w:t>主要变动原因是是人员经费增加、项目资金增加。</w:t>
      </w:r>
    </w:p>
    <w:p>
      <w:pPr>
        <w:pStyle w:val="2"/>
        <w:spacing w:before="93"/>
        <w:rPr>
          <w:rFonts w:ascii="华文仿宋" w:hAnsi="华文仿宋" w:eastAsia="华文仿宋"/>
        </w:rPr>
      </w:pPr>
      <w:r>
        <w:rPr>
          <w:rFonts w:hint="eastAsia" w:ascii="华文仿宋" w:hAnsi="华文仿宋" w:eastAsia="华文仿宋"/>
        </w:rPr>
        <w:drawing>
          <wp:inline distT="0" distB="0" distL="114300" distR="114300">
            <wp:extent cx="5256530" cy="3199765"/>
            <wp:effectExtent l="4445" t="4445" r="15875" b="15240"/>
            <wp:docPr id="14" name="图表 14" descr="7b0a202020202263686172745265734964223a2022343632353834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jc w:val="center"/>
        <w:rPr>
          <w:rFonts w:ascii="楷体" w:hAnsi="楷体" w:eastAsia="楷体" w:cs="楷体"/>
          <w:color w:val="FF0000"/>
          <w:sz w:val="32"/>
          <w:szCs w:val="32"/>
        </w:rPr>
      </w:pPr>
      <w:r>
        <w:rPr>
          <w:rFonts w:hint="eastAsia" w:ascii="楷体" w:hAnsi="楷体" w:eastAsia="楷体" w:cs="楷体"/>
          <w:sz w:val="32"/>
          <w:szCs w:val="32"/>
        </w:rPr>
        <w:t>（图5：一般公共预算财政拨款支出决算变动情况）</w:t>
      </w:r>
    </w:p>
    <w:p>
      <w:pPr>
        <w:spacing w:line="576" w:lineRule="exact"/>
        <w:ind w:firstLine="640" w:firstLineChars="200"/>
        <w:rPr>
          <w:rFonts w:ascii="华文仿宋" w:hAnsi="华文仿宋" w:eastAsia="华文仿宋"/>
          <w:color w:val="FF0000"/>
          <w:sz w:val="32"/>
          <w:szCs w:val="32"/>
        </w:rPr>
      </w:pPr>
    </w:p>
    <w:p>
      <w:pPr>
        <w:spacing w:line="576" w:lineRule="exact"/>
        <w:ind w:firstLine="640" w:firstLineChars="200"/>
        <w:outlineLvl w:val="2"/>
        <w:rPr>
          <w:rFonts w:ascii="楷体" w:hAnsi="楷体" w:eastAsia="楷体" w:cs="楷体"/>
          <w:bCs/>
          <w:sz w:val="32"/>
          <w:szCs w:val="32"/>
        </w:rPr>
      </w:pPr>
      <w:bookmarkStart w:id="44" w:name="_Toc15377211"/>
      <w:bookmarkStart w:id="45" w:name="_Toc3994"/>
      <w:r>
        <w:rPr>
          <w:rFonts w:hint="eastAsia" w:ascii="楷体" w:hAnsi="楷体" w:eastAsia="楷体" w:cs="楷体"/>
          <w:bCs/>
          <w:sz w:val="32"/>
          <w:szCs w:val="32"/>
        </w:rPr>
        <w:t>（二）一般公共预算财政拨款支出决算结构情况</w:t>
      </w:r>
      <w:bookmarkEnd w:id="44"/>
      <w:bookmarkEnd w:id="45"/>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2022年一般公共预算财政拨款支出436.5万元，主要用于以下方面:文化旅游体育与传媒支出394.44万元，占90.4%；社会保障和就业支出14.32万元，占3.3%；卫生健康支出7.94万元，占1.8%；住房保障支出19.81万元，占4.5%。</w:t>
      </w:r>
    </w:p>
    <w:p>
      <w:pPr>
        <w:jc w:val="center"/>
        <w:rPr>
          <w:rFonts w:ascii="楷体" w:hAnsi="楷体" w:eastAsia="楷体" w:cs="楷体"/>
          <w:color w:val="FF0000"/>
          <w:sz w:val="32"/>
          <w:szCs w:val="32"/>
        </w:rPr>
      </w:pPr>
      <w:r>
        <w:rPr>
          <w:rFonts w:hint="eastAsia" w:ascii="楷体" w:hAnsi="楷体" w:eastAsia="楷体" w:cs="楷体"/>
          <w:sz w:val="32"/>
          <w:szCs w:val="32"/>
        </w:rPr>
        <w:drawing>
          <wp:anchor distT="0" distB="0" distL="114300" distR="114300" simplePos="0" relativeHeight="251662336" behindDoc="0" locked="0" layoutInCell="1" allowOverlap="1">
            <wp:simplePos x="0" y="0"/>
            <wp:positionH relativeFrom="column">
              <wp:posOffset>-27940</wp:posOffset>
            </wp:positionH>
            <wp:positionV relativeFrom="paragraph">
              <wp:posOffset>57785</wp:posOffset>
            </wp:positionV>
            <wp:extent cx="5256530" cy="2988310"/>
            <wp:effectExtent l="5080" t="4445" r="15240" b="17145"/>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楷体" w:hAnsi="楷体" w:eastAsia="楷体" w:cs="楷体"/>
          <w:sz w:val="32"/>
          <w:szCs w:val="32"/>
        </w:rPr>
        <w:t>（图6：一般公共预算财政拨款支出决算结构）</w:t>
      </w:r>
    </w:p>
    <w:p>
      <w:pPr>
        <w:spacing w:line="576" w:lineRule="exact"/>
        <w:ind w:firstLine="640" w:firstLineChars="200"/>
        <w:rPr>
          <w:rFonts w:ascii="华文仿宋" w:hAnsi="华文仿宋" w:eastAsia="华文仿宋"/>
          <w:sz w:val="32"/>
          <w:szCs w:val="32"/>
        </w:rPr>
      </w:pPr>
    </w:p>
    <w:p>
      <w:pPr>
        <w:spacing w:line="576" w:lineRule="exact"/>
        <w:ind w:firstLine="640" w:firstLineChars="200"/>
        <w:outlineLvl w:val="2"/>
        <w:rPr>
          <w:rFonts w:ascii="楷体" w:hAnsi="楷体" w:eastAsia="楷体" w:cs="楷体"/>
          <w:bCs/>
          <w:sz w:val="32"/>
          <w:szCs w:val="32"/>
        </w:rPr>
      </w:pPr>
      <w:bookmarkStart w:id="46" w:name="_Toc15377212"/>
      <w:bookmarkStart w:id="47" w:name="_Toc8233"/>
      <w:r>
        <w:rPr>
          <w:rFonts w:hint="eastAsia" w:ascii="楷体" w:hAnsi="楷体" w:eastAsia="楷体" w:cs="楷体"/>
          <w:bCs/>
          <w:sz w:val="32"/>
          <w:szCs w:val="32"/>
        </w:rPr>
        <w:t>（三）一般公共预算财政拨款支出决算具体情况</w:t>
      </w:r>
      <w:bookmarkEnd w:id="46"/>
      <w:bookmarkEnd w:id="47"/>
    </w:p>
    <w:p>
      <w:pPr>
        <w:spacing w:line="576" w:lineRule="exact"/>
        <w:ind w:firstLine="640" w:firstLineChars="200"/>
        <w:outlineLvl w:val="2"/>
        <w:rPr>
          <w:rStyle w:val="14"/>
          <w:rFonts w:ascii="仿宋" w:hAnsi="仿宋" w:eastAsia="仿宋" w:cs="仿宋"/>
          <w:b w:val="0"/>
          <w:bCs/>
          <w:sz w:val="32"/>
          <w:szCs w:val="32"/>
        </w:rPr>
      </w:pPr>
      <w:bookmarkStart w:id="48" w:name="_Toc15378460"/>
      <w:bookmarkStart w:id="49" w:name="_Toc8557"/>
      <w:bookmarkStart w:id="50" w:name="_Toc15377444"/>
      <w:bookmarkStart w:id="51" w:name="_Toc15377213"/>
      <w:r>
        <w:rPr>
          <w:rFonts w:hint="eastAsia" w:ascii="仿宋" w:hAnsi="仿宋" w:eastAsia="仿宋" w:cs="仿宋"/>
          <w:bCs/>
          <w:sz w:val="32"/>
          <w:szCs w:val="32"/>
        </w:rPr>
        <w:t>2022年一般公共预算支出决算数为436.5万元，</w:t>
      </w:r>
      <w:r>
        <w:rPr>
          <w:rStyle w:val="14"/>
          <w:rFonts w:hint="eastAsia" w:ascii="仿宋" w:hAnsi="仿宋" w:eastAsia="仿宋" w:cs="仿宋"/>
          <w:b w:val="0"/>
          <w:bCs/>
          <w:sz w:val="32"/>
          <w:szCs w:val="32"/>
        </w:rPr>
        <w:t>完成预算98.5%。其中：</w:t>
      </w:r>
      <w:bookmarkEnd w:id="48"/>
      <w:bookmarkEnd w:id="49"/>
      <w:bookmarkEnd w:id="50"/>
      <w:bookmarkEnd w:id="51"/>
    </w:p>
    <w:p>
      <w:pPr>
        <w:spacing w:line="576" w:lineRule="exact"/>
        <w:ind w:firstLine="640" w:firstLineChars="200"/>
        <w:jc w:val="left"/>
        <w:rPr>
          <w:rFonts w:ascii="仿宋" w:hAnsi="仿宋" w:eastAsia="仿宋" w:cs="仿宋"/>
          <w:kern w:val="0"/>
          <w:sz w:val="32"/>
          <w:szCs w:val="32"/>
          <w:shd w:val="clear" w:color="auto" w:fill="FFFFFF"/>
        </w:rPr>
      </w:pPr>
      <w:r>
        <w:rPr>
          <w:rStyle w:val="30"/>
          <w:rFonts w:hint="eastAsia" w:ascii="仿宋" w:hAnsi="仿宋" w:eastAsia="仿宋" w:cs="仿宋"/>
          <w:b w:val="0"/>
          <w:color w:val="000000"/>
          <w:sz w:val="32"/>
          <w:szCs w:val="32"/>
        </w:rPr>
        <w:t>1.文化旅游体育与传媒支出（类）文物（款）</w:t>
      </w:r>
      <w:r>
        <w:rPr>
          <w:rFonts w:hint="eastAsia" w:ascii="仿宋" w:hAnsi="仿宋" w:eastAsia="仿宋" w:cs="仿宋"/>
          <w:sz w:val="32"/>
          <w:szCs w:val="32"/>
        </w:rPr>
        <w:t>博物馆</w:t>
      </w:r>
      <w:r>
        <w:rPr>
          <w:rStyle w:val="30"/>
          <w:rFonts w:hint="eastAsia" w:ascii="仿宋" w:hAnsi="仿宋" w:eastAsia="仿宋" w:cs="仿宋"/>
          <w:b w:val="0"/>
          <w:sz w:val="32"/>
          <w:szCs w:val="32"/>
        </w:rPr>
        <w:t>（项）</w:t>
      </w:r>
      <w:r>
        <w:rPr>
          <w:rStyle w:val="30"/>
          <w:rFonts w:hint="eastAsia" w:ascii="仿宋" w:hAnsi="仿宋" w:eastAsia="仿宋" w:cs="仿宋"/>
          <w:b w:val="0"/>
          <w:color w:val="000000"/>
          <w:sz w:val="32"/>
          <w:szCs w:val="32"/>
        </w:rPr>
        <w:t>: 支出决算为394.44万元，完成预算99.72%，决算数小于预算数的</w:t>
      </w:r>
      <w:r>
        <w:rPr>
          <w:rFonts w:hint="eastAsia" w:ascii="仿宋" w:hAnsi="仿宋" w:eastAsia="仿宋" w:cs="仿宋"/>
          <w:sz w:val="32"/>
          <w:szCs w:val="32"/>
        </w:rPr>
        <w:t>主要原因是部份项目按照合同预定支付。</w:t>
      </w:r>
    </w:p>
    <w:p>
      <w:pPr>
        <w:spacing w:line="576" w:lineRule="exact"/>
        <w:ind w:firstLine="640" w:firstLineChars="200"/>
        <w:rPr>
          <w:rFonts w:ascii="仿宋" w:hAnsi="仿宋" w:eastAsia="仿宋" w:cs="仿宋"/>
          <w:color w:val="000000"/>
          <w:sz w:val="32"/>
          <w:szCs w:val="32"/>
        </w:rPr>
      </w:pPr>
      <w:r>
        <w:rPr>
          <w:rStyle w:val="30"/>
          <w:rFonts w:hint="eastAsia" w:ascii="仿宋" w:hAnsi="仿宋" w:eastAsia="仿宋" w:cs="仿宋"/>
          <w:b w:val="0"/>
          <w:color w:val="000000"/>
          <w:sz w:val="32"/>
          <w:szCs w:val="32"/>
        </w:rPr>
        <w:t>2.社会保障和就业支出（类）行政事业单位养老支出（款）</w:t>
      </w:r>
      <w:r>
        <w:rPr>
          <w:rFonts w:hint="eastAsia" w:ascii="仿宋" w:hAnsi="仿宋" w:eastAsia="仿宋" w:cs="仿宋"/>
          <w:sz w:val="32"/>
          <w:szCs w:val="32"/>
        </w:rPr>
        <w:t>机关事业单位基本养老保险缴费支出（项）</w:t>
      </w:r>
      <w:r>
        <w:rPr>
          <w:rStyle w:val="30"/>
          <w:rFonts w:hint="eastAsia" w:ascii="仿宋" w:hAnsi="仿宋" w:eastAsia="仿宋" w:cs="仿宋"/>
          <w:b w:val="0"/>
          <w:color w:val="000000"/>
          <w:sz w:val="32"/>
          <w:szCs w:val="32"/>
        </w:rPr>
        <w:t>决算为</w:t>
      </w:r>
      <w:r>
        <w:rPr>
          <w:rStyle w:val="30"/>
          <w:rFonts w:hint="eastAsia" w:ascii="仿宋" w:hAnsi="仿宋" w:eastAsia="仿宋" w:cs="仿宋"/>
          <w:b w:val="0"/>
          <w:bCs/>
          <w:color w:val="000000"/>
          <w:sz w:val="32"/>
          <w:szCs w:val="32"/>
        </w:rPr>
        <w:t>14.32万元，完成预算71.42%，</w:t>
      </w:r>
      <w:r>
        <w:rPr>
          <w:rFonts w:hint="eastAsia" w:ascii="仿宋" w:hAnsi="仿宋" w:eastAsia="仿宋" w:cs="仿宋"/>
          <w:kern w:val="0"/>
          <w:sz w:val="32"/>
          <w:szCs w:val="32"/>
          <w:shd w:val="clear" w:color="auto" w:fill="FFFFFF"/>
        </w:rPr>
        <w:t>决算数与小于预算数</w:t>
      </w:r>
      <w:r>
        <w:rPr>
          <w:rFonts w:hint="eastAsia" w:ascii="仿宋" w:hAnsi="仿宋" w:eastAsia="仿宋" w:cs="仿宋"/>
          <w:sz w:val="32"/>
          <w:szCs w:val="32"/>
        </w:rPr>
        <w:t>主要原因是：年终2022年养老保险7-12月调整缴费期数，社保费管理客户端不能推送补缴计划，不能补缴保险费。</w:t>
      </w:r>
    </w:p>
    <w:p>
      <w:pPr>
        <w:spacing w:line="576" w:lineRule="exact"/>
        <w:ind w:firstLine="640" w:firstLineChars="200"/>
        <w:rPr>
          <w:rFonts w:ascii="仿宋" w:hAnsi="仿宋" w:eastAsia="仿宋" w:cs="仿宋"/>
          <w:sz w:val="32"/>
          <w:szCs w:val="32"/>
        </w:rPr>
      </w:pPr>
      <w:r>
        <w:rPr>
          <w:rStyle w:val="30"/>
          <w:rFonts w:hint="eastAsia" w:ascii="仿宋" w:hAnsi="仿宋" w:eastAsia="仿宋" w:cs="仿宋"/>
          <w:b w:val="0"/>
          <w:color w:val="000000"/>
          <w:sz w:val="32"/>
          <w:szCs w:val="32"/>
        </w:rPr>
        <w:t xml:space="preserve"> 3.</w:t>
      </w:r>
      <w:r>
        <w:rPr>
          <w:rFonts w:hint="eastAsia" w:ascii="仿宋" w:hAnsi="仿宋" w:eastAsia="仿宋"/>
          <w:color w:val="000000"/>
          <w:sz w:val="32"/>
        </w:rPr>
        <w:t>卫生健康支出（类）行政事业单位医疗（款）事业单位医疗（项）</w:t>
      </w:r>
      <w:r>
        <w:rPr>
          <w:rStyle w:val="30"/>
          <w:rFonts w:hint="eastAsia" w:ascii="仿宋" w:hAnsi="仿宋" w:eastAsia="仿宋" w:cs="仿宋"/>
          <w:b w:val="0"/>
          <w:color w:val="000000"/>
          <w:sz w:val="32"/>
          <w:szCs w:val="32"/>
        </w:rPr>
        <w:t>支出决算为7.94万元，</w:t>
      </w:r>
      <w:r>
        <w:rPr>
          <w:rFonts w:hint="eastAsia" w:ascii="仿宋" w:hAnsi="仿宋" w:eastAsia="仿宋" w:cs="仿宋"/>
          <w:sz w:val="32"/>
          <w:szCs w:val="32"/>
        </w:rPr>
        <w:t>完成预算100%。决算数与预算数持平。</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w:t>
      </w:r>
      <w:r>
        <w:rPr>
          <w:rStyle w:val="30"/>
          <w:rFonts w:hint="eastAsia" w:ascii="仿宋" w:hAnsi="仿宋" w:eastAsia="仿宋" w:cs="仿宋"/>
          <w:b w:val="0"/>
          <w:sz w:val="32"/>
          <w:szCs w:val="32"/>
        </w:rPr>
        <w:t xml:space="preserve"> 住房保障支出（类）</w:t>
      </w:r>
      <w:r>
        <w:rPr>
          <w:rFonts w:hint="eastAsia" w:ascii="仿宋" w:hAnsi="仿宋" w:eastAsia="仿宋" w:cs="仿宋"/>
          <w:sz w:val="32"/>
          <w:szCs w:val="32"/>
        </w:rPr>
        <w:t>住房改革支出（款）住房公积金（项）</w:t>
      </w:r>
      <w:r>
        <w:rPr>
          <w:rStyle w:val="30"/>
          <w:rFonts w:hint="eastAsia" w:ascii="仿宋" w:hAnsi="仿宋" w:eastAsia="仿宋" w:cs="仿宋"/>
          <w:b w:val="0"/>
          <w:bCs/>
          <w:color w:val="000000"/>
          <w:sz w:val="32"/>
          <w:szCs w:val="32"/>
        </w:rPr>
        <w:t>支出决算为19.81万元，完成预算100%。</w:t>
      </w:r>
      <w:r>
        <w:rPr>
          <w:rFonts w:hint="eastAsia" w:ascii="仿宋" w:hAnsi="仿宋" w:eastAsia="仿宋" w:cs="仿宋"/>
          <w:kern w:val="0"/>
          <w:sz w:val="32"/>
          <w:szCs w:val="32"/>
          <w:shd w:val="clear" w:color="auto" w:fill="FFFFFF"/>
        </w:rPr>
        <w:t>决算数与预</w:t>
      </w:r>
      <w:r>
        <w:rPr>
          <w:rFonts w:hint="eastAsia" w:ascii="仿宋" w:hAnsi="仿宋" w:eastAsia="仿宋" w:cs="仿宋"/>
          <w:sz w:val="32"/>
          <w:szCs w:val="32"/>
        </w:rPr>
        <w:t>算数持平。</w:t>
      </w:r>
    </w:p>
    <w:p>
      <w:pPr>
        <w:tabs>
          <w:tab w:val="right" w:pos="8306"/>
        </w:tabs>
        <w:spacing w:line="576" w:lineRule="exact"/>
        <w:ind w:firstLine="640" w:firstLineChars="200"/>
        <w:outlineLvl w:val="1"/>
        <w:rPr>
          <w:rStyle w:val="25"/>
          <w:rFonts w:ascii="华文仿宋" w:hAnsi="华文仿宋" w:eastAsia="华文仿宋"/>
        </w:rPr>
      </w:pPr>
      <w:bookmarkStart w:id="52" w:name="_Toc15396608"/>
      <w:bookmarkStart w:id="53" w:name="_Toc15377214"/>
      <w:bookmarkStart w:id="54" w:name="_Toc12286"/>
      <w:r>
        <w:rPr>
          <w:rFonts w:hint="eastAsia" w:ascii="黑体" w:hAnsi="黑体" w:eastAsia="黑体" w:cs="黑体"/>
          <w:sz w:val="32"/>
          <w:szCs w:val="32"/>
        </w:rPr>
        <w:t>六</w:t>
      </w:r>
      <w:r>
        <w:rPr>
          <w:rFonts w:hint="eastAsia" w:ascii="黑体" w:hAnsi="黑体" w:eastAsia="黑体" w:cs="黑体"/>
          <w:b/>
          <w:sz w:val="32"/>
          <w:szCs w:val="32"/>
        </w:rPr>
        <w:t>、一</w:t>
      </w:r>
      <w:r>
        <w:rPr>
          <w:rStyle w:val="25"/>
          <w:rFonts w:hint="eastAsia" w:ascii="黑体" w:hAnsi="黑体" w:eastAsia="黑体" w:cs="黑体"/>
          <w:b w:val="0"/>
        </w:rPr>
        <w:t>般公共预算财政拨款基本支出决算情况说明</w:t>
      </w:r>
      <w:bookmarkEnd w:id="52"/>
      <w:bookmarkEnd w:id="53"/>
      <w:bookmarkEnd w:id="54"/>
      <w:r>
        <w:rPr>
          <w:rStyle w:val="25"/>
          <w:rFonts w:ascii="华文仿宋" w:hAnsi="华文仿宋" w:eastAsia="华文仿宋"/>
          <w:b w:val="0"/>
        </w:rPr>
        <w:tab/>
      </w:r>
    </w:p>
    <w:p>
      <w:pPr>
        <w:spacing w:line="576" w:lineRule="exact"/>
        <w:ind w:firstLine="640" w:firstLineChars="200"/>
        <w:rPr>
          <w:rFonts w:ascii="华文仿宋" w:hAnsi="华文仿宋" w:eastAsia="华文仿宋"/>
          <w:sz w:val="32"/>
          <w:szCs w:val="32"/>
        </w:rPr>
      </w:pPr>
      <w:r>
        <w:rPr>
          <w:rFonts w:ascii="华文仿宋" w:hAnsi="华文仿宋" w:eastAsia="华文仿宋"/>
          <w:sz w:val="32"/>
          <w:szCs w:val="32"/>
        </w:rPr>
        <w:t>20</w:t>
      </w:r>
      <w:r>
        <w:rPr>
          <w:rFonts w:hint="eastAsia" w:ascii="华文仿宋" w:hAnsi="华文仿宋" w:eastAsia="华文仿宋"/>
          <w:sz w:val="32"/>
          <w:szCs w:val="32"/>
        </w:rPr>
        <w:t>22年一般公共预算财政拨款基本支出233.07万元，其中：</w:t>
      </w:r>
    </w:p>
    <w:p>
      <w:pPr>
        <w:spacing w:line="576" w:lineRule="exact"/>
        <w:ind w:firstLine="640" w:firstLineChars="200"/>
        <w:rPr>
          <w:rFonts w:ascii="华文仿宋" w:hAnsi="华文仿宋" w:eastAsia="华文仿宋"/>
          <w:b/>
          <w:sz w:val="32"/>
          <w:szCs w:val="32"/>
        </w:rPr>
      </w:pPr>
      <w:r>
        <w:rPr>
          <w:rFonts w:hint="eastAsia" w:ascii="华文仿宋" w:hAnsi="华文仿宋" w:eastAsia="华文仿宋"/>
          <w:sz w:val="32"/>
          <w:szCs w:val="32"/>
        </w:rPr>
        <w:t>人员经费215.30万元，主要包括：基本工资、津贴补贴、奖金、绩效工资、机关事业单位基本养老保险缴费、职工基本医疗保险缴费、其他社会保障缴费、住房公积金、其他工资福利支出。</w:t>
      </w:r>
      <w:r>
        <w:rPr>
          <w:rFonts w:ascii="华文仿宋" w:hAnsi="华文仿宋" w:eastAsia="华文仿宋"/>
          <w:sz w:val="32"/>
          <w:szCs w:val="32"/>
        </w:rPr>
        <w:br w:type="textWrapping"/>
      </w:r>
      <w:r>
        <w:rPr>
          <w:rFonts w:hint="eastAsia" w:ascii="华文仿宋" w:hAnsi="华文仿宋" w:eastAsia="华文仿宋"/>
          <w:sz w:val="32"/>
          <w:szCs w:val="32"/>
        </w:rPr>
        <w:t>　　公用经费17.78万元，主要包括：办公费、咨询费、手续费、电费、邮电费、差旅费、会议费、培训费、公务接待费、专用材料费、劳务费、委托业务费、工会经费、福利费、公务用车运行维护费、其他商品和服务支出、办公设备购置</w:t>
      </w:r>
      <w:r>
        <w:rPr>
          <w:rFonts w:hint="eastAsia" w:ascii="华文仿宋" w:hAnsi="华文仿宋" w:eastAsia="华文仿宋"/>
          <w:b/>
          <w:sz w:val="32"/>
          <w:szCs w:val="32"/>
        </w:rPr>
        <w:t>。</w:t>
      </w:r>
    </w:p>
    <w:p>
      <w:pPr>
        <w:spacing w:line="576" w:lineRule="exact"/>
        <w:ind w:firstLine="640" w:firstLineChars="200"/>
        <w:outlineLvl w:val="1"/>
        <w:rPr>
          <w:rStyle w:val="25"/>
          <w:rFonts w:ascii="黑体" w:hAnsi="黑体" w:eastAsia="黑体" w:cs="黑体"/>
          <w:b w:val="0"/>
        </w:rPr>
      </w:pPr>
      <w:bookmarkStart w:id="55" w:name="_Toc15377215"/>
      <w:bookmarkStart w:id="56" w:name="_Toc15396609"/>
      <w:bookmarkStart w:id="57" w:name="_Toc2979"/>
      <w:r>
        <w:rPr>
          <w:rFonts w:hint="eastAsia" w:ascii="黑体" w:hAnsi="黑体" w:eastAsia="黑体" w:cs="黑体"/>
          <w:sz w:val="32"/>
          <w:szCs w:val="32"/>
        </w:rPr>
        <w:t>七、</w:t>
      </w:r>
      <w:r>
        <w:rPr>
          <w:rStyle w:val="25"/>
          <w:rFonts w:hint="eastAsia" w:ascii="黑体" w:hAnsi="黑体" w:eastAsia="黑体" w:cs="黑体"/>
          <w:b w:val="0"/>
        </w:rPr>
        <w:t>财政拨款</w:t>
      </w:r>
      <w:r>
        <w:rPr>
          <w:rStyle w:val="25"/>
          <w:rFonts w:hint="eastAsia" w:ascii="黑体" w:hAnsi="黑体" w:eastAsia="黑体" w:cs="黑体"/>
        </w:rPr>
        <w:t>“</w:t>
      </w:r>
      <w:r>
        <w:rPr>
          <w:rStyle w:val="25"/>
          <w:rFonts w:hint="eastAsia" w:ascii="黑体" w:hAnsi="黑体" w:eastAsia="黑体" w:cs="黑体"/>
          <w:b w:val="0"/>
        </w:rPr>
        <w:t>三公”经费支出决算情况说明</w:t>
      </w:r>
      <w:bookmarkEnd w:id="55"/>
      <w:bookmarkEnd w:id="56"/>
      <w:bookmarkEnd w:id="57"/>
    </w:p>
    <w:p>
      <w:pPr>
        <w:spacing w:line="576" w:lineRule="exact"/>
        <w:ind w:firstLine="640" w:firstLineChars="200"/>
        <w:outlineLvl w:val="2"/>
        <w:rPr>
          <w:rFonts w:ascii="楷体" w:hAnsi="楷体" w:eastAsia="楷体" w:cs="楷体"/>
          <w:bCs/>
          <w:sz w:val="32"/>
          <w:szCs w:val="32"/>
        </w:rPr>
      </w:pPr>
      <w:bookmarkStart w:id="58" w:name="_Toc26455"/>
      <w:bookmarkStart w:id="59" w:name="_Toc15377216"/>
      <w:r>
        <w:rPr>
          <w:rFonts w:hint="eastAsia" w:ascii="楷体" w:hAnsi="楷体" w:eastAsia="楷体" w:cs="楷体"/>
          <w:bCs/>
          <w:sz w:val="32"/>
          <w:szCs w:val="32"/>
        </w:rPr>
        <w:t>（一）“三公”经费财政拨款支出决算总体情况说明</w:t>
      </w:r>
      <w:bookmarkEnd w:id="58"/>
      <w:bookmarkEnd w:id="59"/>
    </w:p>
    <w:p>
      <w:pPr>
        <w:spacing w:line="576" w:lineRule="exact"/>
        <w:ind w:firstLine="640" w:firstLineChars="200"/>
        <w:rPr>
          <w:rFonts w:ascii="华文仿宋" w:hAnsi="华文仿宋" w:eastAsia="华文仿宋"/>
          <w:sz w:val="32"/>
          <w:szCs w:val="32"/>
        </w:rPr>
      </w:pPr>
      <w:r>
        <w:rPr>
          <w:rFonts w:ascii="华文仿宋" w:hAnsi="华文仿宋" w:eastAsia="华文仿宋"/>
          <w:sz w:val="32"/>
          <w:szCs w:val="32"/>
        </w:rPr>
        <w:t>20</w:t>
      </w:r>
      <w:r>
        <w:rPr>
          <w:rFonts w:hint="eastAsia" w:ascii="华文仿宋" w:hAnsi="华文仿宋" w:eastAsia="华文仿宋"/>
          <w:sz w:val="32"/>
          <w:szCs w:val="32"/>
        </w:rPr>
        <w:t>22年“三公”经费财政拨款支出决算为4.07万元，完成预算100</w:t>
      </w:r>
      <w:r>
        <w:rPr>
          <w:rFonts w:ascii="华文仿宋" w:hAnsi="华文仿宋" w:eastAsia="华文仿宋"/>
          <w:sz w:val="32"/>
          <w:szCs w:val="32"/>
        </w:rPr>
        <w:t>%</w:t>
      </w:r>
      <w:r>
        <w:rPr>
          <w:rFonts w:hint="eastAsia" w:ascii="华文仿宋" w:hAnsi="华文仿宋" w:eastAsia="华文仿宋"/>
          <w:sz w:val="32"/>
          <w:szCs w:val="32"/>
        </w:rPr>
        <w:t>，较上年减少2.53万元，下降38.3%。决算数</w:t>
      </w:r>
      <w:r>
        <w:rPr>
          <w:rFonts w:hint="default" w:ascii="华文仿宋" w:hAnsi="华文仿宋" w:eastAsia="华文仿宋"/>
          <w:sz w:val="32"/>
          <w:szCs w:val="32"/>
        </w:rPr>
        <w:t>与</w:t>
      </w:r>
      <w:r>
        <w:rPr>
          <w:rFonts w:hint="eastAsia" w:ascii="华文仿宋" w:hAnsi="华文仿宋" w:eastAsia="华文仿宋"/>
          <w:sz w:val="32"/>
          <w:szCs w:val="32"/>
        </w:rPr>
        <w:t>预算数持平。较上年减少原因是受疫情影响各项活动减少。</w:t>
      </w:r>
      <w:bookmarkStart w:id="60" w:name="_Toc15377217"/>
    </w:p>
    <w:p>
      <w:pPr>
        <w:spacing w:line="576" w:lineRule="exact"/>
        <w:ind w:firstLine="640" w:firstLineChars="200"/>
        <w:rPr>
          <w:rFonts w:ascii="楷体" w:hAnsi="楷体" w:eastAsia="楷体" w:cs="楷体"/>
          <w:bCs/>
          <w:sz w:val="32"/>
          <w:szCs w:val="32"/>
        </w:rPr>
      </w:pPr>
      <w:r>
        <w:rPr>
          <w:rFonts w:hint="eastAsia" w:ascii="楷体" w:hAnsi="楷体" w:eastAsia="楷体" w:cs="楷体"/>
          <w:bCs/>
          <w:sz w:val="32"/>
          <w:szCs w:val="32"/>
        </w:rPr>
        <w:t>（二）“三公”经费财政拨款支出决算具体情况说明</w:t>
      </w:r>
      <w:bookmarkEnd w:id="60"/>
    </w:p>
    <w:p>
      <w:pPr>
        <w:spacing w:line="576" w:lineRule="exact"/>
        <w:ind w:firstLine="640" w:firstLineChars="200"/>
        <w:rPr>
          <w:rFonts w:ascii="华文仿宋" w:hAnsi="华文仿宋" w:eastAsia="华文仿宋"/>
          <w:sz w:val="32"/>
          <w:szCs w:val="32"/>
        </w:rPr>
      </w:pPr>
      <w:r>
        <w:rPr>
          <w:rFonts w:ascii="华文仿宋" w:hAnsi="华文仿宋" w:eastAsia="华文仿宋"/>
          <w:sz w:val="32"/>
          <w:szCs w:val="32"/>
        </w:rPr>
        <w:t>20</w:t>
      </w:r>
      <w:r>
        <w:rPr>
          <w:rFonts w:hint="eastAsia" w:ascii="华文仿宋" w:hAnsi="华文仿宋" w:eastAsia="华文仿宋"/>
          <w:sz w:val="32"/>
          <w:szCs w:val="32"/>
        </w:rPr>
        <w:t>22年“三公”经费财政拨款支出决算中，因公出国（境）费支出决算0万元，占0</w:t>
      </w:r>
      <w:r>
        <w:rPr>
          <w:rFonts w:ascii="华文仿宋" w:hAnsi="华文仿宋" w:eastAsia="华文仿宋"/>
          <w:sz w:val="32"/>
          <w:szCs w:val="32"/>
        </w:rPr>
        <w:t>%</w:t>
      </w:r>
      <w:r>
        <w:rPr>
          <w:rFonts w:hint="eastAsia" w:ascii="华文仿宋" w:hAnsi="华文仿宋" w:eastAsia="华文仿宋"/>
          <w:sz w:val="32"/>
          <w:szCs w:val="32"/>
        </w:rPr>
        <w:t>；公务用车购置及运行维护费支出决算3.48万元，占85.5</w:t>
      </w:r>
      <w:r>
        <w:rPr>
          <w:rFonts w:ascii="华文仿宋" w:hAnsi="华文仿宋" w:eastAsia="华文仿宋"/>
          <w:sz w:val="32"/>
          <w:szCs w:val="32"/>
        </w:rPr>
        <w:t>%</w:t>
      </w:r>
      <w:r>
        <w:rPr>
          <w:rFonts w:hint="eastAsia" w:ascii="华文仿宋" w:hAnsi="华文仿宋" w:eastAsia="华文仿宋"/>
          <w:sz w:val="32"/>
          <w:szCs w:val="32"/>
        </w:rPr>
        <w:t>；公务接待费支出决算0.6万元，占14.5</w:t>
      </w:r>
      <w:r>
        <w:rPr>
          <w:rFonts w:ascii="华文仿宋" w:hAnsi="华文仿宋" w:eastAsia="华文仿宋"/>
          <w:sz w:val="32"/>
          <w:szCs w:val="32"/>
        </w:rPr>
        <w:t>%</w:t>
      </w:r>
      <w:r>
        <w:rPr>
          <w:rFonts w:hint="eastAsia" w:ascii="华文仿宋" w:hAnsi="华文仿宋" w:eastAsia="华文仿宋"/>
          <w:sz w:val="32"/>
          <w:szCs w:val="32"/>
        </w:rPr>
        <w:t>。具体情况如下：</w:t>
      </w:r>
    </w:p>
    <w:p>
      <w:pPr>
        <w:rPr>
          <w:rFonts w:ascii="华文仿宋" w:hAnsi="华文仿宋" w:eastAsia="华文仿宋"/>
        </w:rPr>
      </w:pPr>
    </w:p>
    <w:p>
      <w:pPr>
        <w:pStyle w:val="2"/>
        <w:spacing w:before="93"/>
        <w:jc w:val="center"/>
        <w:rPr>
          <w:rFonts w:ascii="楷体" w:hAnsi="楷体" w:eastAsia="楷体" w:cs="楷体"/>
          <w:color w:val="FF0000"/>
          <w:sz w:val="32"/>
          <w:szCs w:val="32"/>
        </w:rPr>
      </w:pPr>
      <w:r>
        <w:rPr>
          <w:rFonts w:hint="eastAsia" w:ascii="楷体" w:hAnsi="楷体" w:eastAsia="楷体" w:cs="楷体"/>
          <w:sz w:val="32"/>
          <w:szCs w:val="32"/>
        </w:rPr>
        <w:drawing>
          <wp:anchor distT="0" distB="0" distL="114300" distR="114300" simplePos="0" relativeHeight="251663360" behindDoc="0" locked="0" layoutInCell="1" allowOverlap="1">
            <wp:simplePos x="0" y="0"/>
            <wp:positionH relativeFrom="column">
              <wp:posOffset>19685</wp:posOffset>
            </wp:positionH>
            <wp:positionV relativeFrom="paragraph">
              <wp:posOffset>27940</wp:posOffset>
            </wp:positionV>
            <wp:extent cx="5256530" cy="2988310"/>
            <wp:effectExtent l="5080" t="4445" r="15240" b="17145"/>
            <wp:wrapTopAndBottom/>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楷体" w:hAnsi="楷体" w:eastAsia="楷体" w:cs="楷体"/>
          <w:sz w:val="32"/>
          <w:szCs w:val="32"/>
        </w:rPr>
        <w:t>（图7：“三公”经费财政拨款支出结构）</w:t>
      </w:r>
    </w:p>
    <w:p>
      <w:pPr>
        <w:autoSpaceDE w:val="0"/>
        <w:autoSpaceDN w:val="0"/>
        <w:adjustRightInd w:val="0"/>
        <w:spacing w:line="600" w:lineRule="exact"/>
        <w:rPr>
          <w:rFonts w:ascii="华文仿宋" w:hAnsi="华文仿宋" w:eastAsia="华文仿宋"/>
          <w:bCs/>
          <w:color w:val="000000"/>
          <w:sz w:val="32"/>
          <w:szCs w:val="32"/>
        </w:rPr>
      </w:pPr>
    </w:p>
    <w:p>
      <w:pPr>
        <w:autoSpaceDE w:val="0"/>
        <w:autoSpaceDN w:val="0"/>
        <w:adjustRightInd w:val="0"/>
        <w:spacing w:line="576"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1.因公出国（境）经费支出0万元</w:t>
      </w:r>
      <w:r>
        <w:rPr>
          <w:rFonts w:hint="eastAsia" w:ascii="仿宋" w:hAnsi="仿宋" w:eastAsia="仿宋" w:cs="仿宋"/>
          <w:color w:val="000000"/>
          <w:sz w:val="32"/>
          <w:szCs w:val="32"/>
        </w:rPr>
        <w:t>，</w:t>
      </w:r>
      <w:r>
        <w:rPr>
          <w:rStyle w:val="30"/>
          <w:rFonts w:hint="eastAsia" w:ascii="仿宋" w:hAnsi="仿宋" w:eastAsia="仿宋" w:cs="仿宋"/>
          <w:b w:val="0"/>
          <w:bCs/>
          <w:color w:val="000000"/>
          <w:sz w:val="32"/>
          <w:szCs w:val="32"/>
        </w:rPr>
        <w:t>年初未安排预算</w:t>
      </w:r>
      <w:r>
        <w:rPr>
          <w:rFonts w:hint="eastAsia" w:ascii="仿宋" w:hAnsi="仿宋" w:eastAsia="仿宋" w:cs="仿宋"/>
          <w:bCs/>
          <w:color w:val="000000"/>
          <w:sz w:val="32"/>
          <w:szCs w:val="32"/>
        </w:rPr>
        <w:t>。因公出国（境）支出决算较2021年无变化。</w:t>
      </w:r>
    </w:p>
    <w:p>
      <w:pPr>
        <w:keepNext/>
        <w:keepLines/>
        <w:spacing w:line="576" w:lineRule="exact"/>
        <w:ind w:firstLine="640" w:firstLineChars="200"/>
        <w:rPr>
          <w:rFonts w:ascii="仿宋" w:hAnsi="仿宋" w:eastAsia="仿宋" w:cs="仿宋"/>
          <w:bCs/>
          <w:color w:val="000000"/>
          <w:sz w:val="32"/>
          <w:szCs w:val="32"/>
        </w:rPr>
      </w:pPr>
      <w:bookmarkStart w:id="61" w:name="_Toc15377218"/>
      <w:bookmarkStart w:id="62" w:name="_Toc15396610"/>
      <w:r>
        <w:rPr>
          <w:rFonts w:hint="eastAsia" w:ascii="仿宋" w:hAnsi="仿宋" w:eastAsia="仿宋" w:cs="仿宋"/>
          <w:bCs/>
          <w:color w:val="000000"/>
          <w:sz w:val="32"/>
          <w:szCs w:val="32"/>
        </w:rPr>
        <w:t>2.公务用车购置及运行维护费支出3.48万元，完成预算100%。公务用车购置及运行维护费支出决算比2021年减少2.82万元，下降44.8%。主要原因是由于疫情原因，活动减少，公务运行维护及公务接待减少。</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其中：公务用车购置费支出0万元。全年按规定更新购置公务用车0辆，截至202</w:t>
      </w:r>
      <w:r>
        <w:rPr>
          <w:rFonts w:hint="default" w:ascii="仿宋" w:hAnsi="仿宋" w:eastAsia="仿宋" w:cs="仿宋"/>
          <w:bCs/>
          <w:color w:val="000000"/>
          <w:sz w:val="32"/>
          <w:szCs w:val="32"/>
        </w:rPr>
        <w:t>2</w:t>
      </w:r>
      <w:r>
        <w:rPr>
          <w:rFonts w:hint="eastAsia" w:ascii="仿宋" w:hAnsi="仿宋" w:eastAsia="仿宋" w:cs="仿宋"/>
          <w:bCs/>
          <w:color w:val="000000"/>
          <w:sz w:val="32"/>
          <w:szCs w:val="32"/>
        </w:rPr>
        <w:t>年12月底，单</w:t>
      </w:r>
      <w:r>
        <w:rPr>
          <w:rFonts w:hint="eastAsia" w:ascii="仿宋" w:hAnsi="仿宋" w:eastAsia="仿宋" w:cs="仿宋"/>
          <w:color w:val="000000"/>
          <w:sz w:val="32"/>
          <w:szCs w:val="32"/>
        </w:rPr>
        <w:t>位共有公务用车1辆，其中：轿车1辆。</w:t>
      </w:r>
    </w:p>
    <w:p>
      <w:pPr>
        <w:spacing w:line="576"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公务用车运行维护费支出3.48万元。</w:t>
      </w:r>
      <w:r>
        <w:rPr>
          <w:rFonts w:hint="default" w:ascii="仿宋" w:hAnsi="仿宋" w:eastAsia="仿宋" w:cs="仿宋"/>
          <w:bCs/>
          <w:color w:val="000000"/>
          <w:sz w:val="32"/>
          <w:szCs w:val="32"/>
        </w:rPr>
        <w:t>用</w:t>
      </w:r>
      <w:r>
        <w:rPr>
          <w:rFonts w:hint="eastAsia" w:ascii="仿宋" w:hAnsi="仿宋" w:eastAsia="仿宋" w:cs="仿宋"/>
          <w:bCs/>
          <w:color w:val="000000"/>
          <w:sz w:val="32"/>
          <w:szCs w:val="32"/>
        </w:rPr>
        <w:t>于考古调查、文物保护等所需的公务用车燃料费、维修费、过路过桥费、保险费等支出。</w:t>
      </w:r>
    </w:p>
    <w:p>
      <w:pPr>
        <w:spacing w:line="576"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3.公务接待费支出0.6万元，完成预算100%。公务接待费支出决算比2021年减少0.29万元，下降93.5%。主要原因是主要原因是</w:t>
      </w:r>
      <w:r>
        <w:rPr>
          <w:rFonts w:hint="eastAsia" w:ascii="仿宋" w:hAnsi="仿宋" w:eastAsia="仿宋" w:cs="仿宋"/>
          <w:bCs/>
          <w:sz w:val="32"/>
          <w:szCs w:val="32"/>
        </w:rPr>
        <w:t>厉行节约，精简开支，规范公务接待，严格控制公务接待标准和陪餐人数</w:t>
      </w:r>
      <w:r>
        <w:rPr>
          <w:rFonts w:hint="eastAsia" w:ascii="仿宋" w:hAnsi="仿宋" w:eastAsia="仿宋" w:cs="仿宋"/>
          <w:bCs/>
          <w:color w:val="000000"/>
          <w:sz w:val="32"/>
          <w:szCs w:val="32"/>
        </w:rPr>
        <w:t>。其中：</w:t>
      </w:r>
    </w:p>
    <w:p>
      <w:pPr>
        <w:spacing w:line="576" w:lineRule="exact"/>
        <w:ind w:firstLine="640" w:firstLineChars="200"/>
        <w:rPr>
          <w:rFonts w:ascii="仿宋" w:hAnsi="仿宋" w:eastAsia="仿宋" w:cs="仿宋"/>
          <w:sz w:val="32"/>
          <w:szCs w:val="32"/>
        </w:rPr>
      </w:pPr>
      <w:r>
        <w:rPr>
          <w:rFonts w:hint="eastAsia" w:ascii="仿宋" w:hAnsi="仿宋" w:eastAsia="仿宋" w:cs="仿宋"/>
          <w:bCs/>
          <w:color w:val="000000"/>
          <w:sz w:val="32"/>
          <w:szCs w:val="32"/>
        </w:rPr>
        <w:t>国内公务接待支出0.6万元</w:t>
      </w:r>
      <w:r>
        <w:rPr>
          <w:rFonts w:hint="eastAsia" w:ascii="仿宋" w:hAnsi="仿宋" w:eastAsia="仿宋" w:cs="仿宋"/>
          <w:color w:val="000000"/>
          <w:sz w:val="32"/>
          <w:szCs w:val="32"/>
        </w:rPr>
        <w:t>。主要用于</w:t>
      </w:r>
      <w:r>
        <w:rPr>
          <w:rFonts w:hint="eastAsia" w:ascii="仿宋" w:hAnsi="仿宋" w:eastAsia="仿宋" w:cs="仿宋"/>
          <w:color w:val="000000"/>
          <w:sz w:val="32"/>
          <w:szCs w:val="32"/>
          <w:highlight w:val="white"/>
        </w:rPr>
        <w:t>、开展业务活动开支用餐费等。</w:t>
      </w:r>
      <w:r>
        <w:rPr>
          <w:rFonts w:hint="eastAsia" w:ascii="仿宋" w:hAnsi="仿宋" w:eastAsia="仿宋" w:cs="仿宋"/>
          <w:color w:val="000000"/>
          <w:sz w:val="32"/>
          <w:szCs w:val="32"/>
        </w:rPr>
        <w:t>国内公务接待6批次，31人次(不包括陪同人员），共计支出0.6万元，具体内容包括</w:t>
      </w:r>
      <w:r>
        <w:rPr>
          <w:rFonts w:hint="eastAsia" w:ascii="仿宋" w:hAnsi="仿宋" w:eastAsia="仿宋" w:cs="仿宋"/>
          <w:color w:val="000000"/>
          <w:sz w:val="32"/>
          <w:szCs w:val="32"/>
          <w:highlight w:val="white"/>
        </w:rPr>
        <w:t>达州市博物馆免费开放学术交流讲解培训960元</w:t>
      </w:r>
      <w:r>
        <w:rPr>
          <w:rFonts w:hint="eastAsia" w:ascii="仿宋" w:hAnsi="仿宋" w:eastAsia="仿宋" w:cs="仿宋"/>
          <w:color w:val="000000"/>
          <w:sz w:val="32"/>
          <w:szCs w:val="32"/>
        </w:rPr>
        <w:t>；中国古陶瓷协会一行调研广元窑论坛香菇工作980元；市博物馆迁建项目展陈设计图考察博物馆展陈设计相关工作2190元；国家文物局巡回鉴定相关工作660元；中国文物协会专家调研群是文物保护工作330元：旺苍县文物保护管理所商谈借展文物相关工作880元。</w:t>
      </w:r>
    </w:p>
    <w:p>
      <w:pPr>
        <w:keepNext/>
        <w:keepLines/>
        <w:spacing w:line="576"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外事接待支出0万元。</w:t>
      </w:r>
    </w:p>
    <w:p>
      <w:pPr>
        <w:spacing w:line="576" w:lineRule="exact"/>
        <w:ind w:firstLine="640" w:firstLineChars="200"/>
        <w:outlineLvl w:val="1"/>
        <w:rPr>
          <w:rStyle w:val="25"/>
          <w:rFonts w:ascii="黑体" w:hAnsi="黑体" w:eastAsia="黑体" w:cs="黑体"/>
          <w:b w:val="0"/>
        </w:rPr>
      </w:pPr>
      <w:bookmarkStart w:id="63" w:name="_Toc14914"/>
      <w:r>
        <w:rPr>
          <w:rFonts w:hint="eastAsia" w:ascii="黑体" w:hAnsi="黑体" w:eastAsia="黑体" w:cs="黑体"/>
          <w:bCs/>
          <w:sz w:val="32"/>
          <w:szCs w:val="32"/>
        </w:rPr>
        <w:t>八、</w:t>
      </w:r>
      <w:r>
        <w:rPr>
          <w:rStyle w:val="25"/>
          <w:rFonts w:hint="eastAsia" w:ascii="黑体" w:hAnsi="黑体" w:eastAsia="黑体" w:cs="黑体"/>
          <w:b w:val="0"/>
        </w:rPr>
        <w:t>政府性基金预算支出决算情况说明</w:t>
      </w:r>
      <w:bookmarkEnd w:id="61"/>
      <w:bookmarkEnd w:id="62"/>
      <w:bookmarkEnd w:id="63"/>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2022年政府性基金预算拨款支出0万元。</w:t>
      </w:r>
    </w:p>
    <w:p>
      <w:pPr>
        <w:spacing w:line="576" w:lineRule="exact"/>
        <w:ind w:firstLine="640" w:firstLineChars="200"/>
        <w:outlineLvl w:val="1"/>
        <w:rPr>
          <w:rStyle w:val="25"/>
          <w:rFonts w:ascii="仿宋" w:hAnsi="仿宋" w:eastAsia="仿宋" w:cs="仿宋"/>
          <w:b w:val="0"/>
        </w:rPr>
      </w:pPr>
      <w:bookmarkStart w:id="64" w:name="_Toc15396611"/>
      <w:bookmarkStart w:id="65" w:name="_Toc15377219"/>
      <w:bookmarkStart w:id="66" w:name="_Toc14754"/>
      <w:r>
        <w:rPr>
          <w:rStyle w:val="25"/>
          <w:rFonts w:hint="eastAsia" w:ascii="黑体" w:hAnsi="黑体" w:eastAsia="黑体" w:cs="黑体"/>
          <w:b w:val="0"/>
        </w:rPr>
        <w:t>九、国有资本经营预算支出决算情况说明</w:t>
      </w:r>
      <w:bookmarkEnd w:id="64"/>
      <w:bookmarkEnd w:id="65"/>
      <w:bookmarkEnd w:id="66"/>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2022年国有资本经营预算财政拨款支出0万元。</w:t>
      </w:r>
    </w:p>
    <w:p>
      <w:pPr>
        <w:keepNext/>
        <w:keepLines/>
        <w:spacing w:line="576" w:lineRule="exact"/>
        <w:ind w:firstLine="640" w:firstLineChars="200"/>
        <w:rPr>
          <w:rFonts w:ascii="仿宋" w:hAnsi="仿宋" w:eastAsia="仿宋" w:cs="仿宋"/>
          <w:b/>
          <w:sz w:val="32"/>
          <w:szCs w:val="32"/>
        </w:rPr>
      </w:pPr>
      <w:r>
        <w:rPr>
          <w:rFonts w:hint="eastAsia" w:ascii="黑体" w:hAnsi="黑体" w:eastAsia="黑体" w:cs="黑体"/>
          <w:color w:val="000000"/>
          <w:sz w:val="32"/>
          <w:szCs w:val="32"/>
        </w:rPr>
        <w:t>十</w:t>
      </w:r>
      <w:r>
        <w:rPr>
          <w:rFonts w:hint="eastAsia" w:ascii="黑体" w:hAnsi="黑体" w:eastAsia="黑体" w:cs="黑体"/>
          <w:b/>
          <w:sz w:val="32"/>
          <w:szCs w:val="32"/>
        </w:rPr>
        <w:t>、</w:t>
      </w:r>
      <w:r>
        <w:rPr>
          <w:rFonts w:hint="eastAsia" w:ascii="黑体" w:hAnsi="黑体" w:eastAsia="黑体" w:cs="黑体"/>
          <w:sz w:val="32"/>
          <w:szCs w:val="32"/>
        </w:rPr>
        <w:t>其他重要事项的情况说明</w:t>
      </w:r>
    </w:p>
    <w:p>
      <w:pPr>
        <w:keepNext/>
        <w:keepLines/>
        <w:spacing w:line="576" w:lineRule="exact"/>
        <w:ind w:firstLine="640" w:firstLineChars="200"/>
        <w:rPr>
          <w:rFonts w:ascii="楷体" w:hAnsi="楷体" w:eastAsia="楷体" w:cs="楷体"/>
          <w:bCs/>
          <w:color w:val="000000"/>
          <w:sz w:val="32"/>
          <w:szCs w:val="32"/>
        </w:rPr>
      </w:pPr>
      <w:r>
        <w:rPr>
          <w:rFonts w:hint="eastAsia" w:ascii="楷体" w:hAnsi="楷体" w:eastAsia="楷体" w:cs="楷体"/>
          <w:bCs/>
          <w:color w:val="000000"/>
          <w:sz w:val="32"/>
          <w:szCs w:val="32"/>
        </w:rPr>
        <w:t>（一）机关运行经费支出情况</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2022年，广元市博物馆机关运行经费支出0万元。</w:t>
      </w:r>
    </w:p>
    <w:p>
      <w:pPr>
        <w:keepNext/>
        <w:keepLines/>
        <w:spacing w:line="576" w:lineRule="exact"/>
        <w:ind w:firstLine="640" w:firstLineChars="200"/>
        <w:rPr>
          <w:rFonts w:ascii="楷体" w:hAnsi="楷体" w:eastAsia="楷体" w:cs="楷体"/>
          <w:bCs/>
          <w:color w:val="000000"/>
          <w:sz w:val="32"/>
          <w:szCs w:val="32"/>
        </w:rPr>
      </w:pPr>
      <w:r>
        <w:rPr>
          <w:rFonts w:hint="eastAsia" w:ascii="楷体" w:hAnsi="楷体" w:eastAsia="楷体" w:cs="楷体"/>
          <w:bCs/>
          <w:color w:val="000000"/>
          <w:sz w:val="32"/>
          <w:szCs w:val="32"/>
        </w:rPr>
        <w:t>（二）政府采购支出情况</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2022年，广元市博物馆政府采购支出总额96.2万元，其中：政府采购货物支出1.2万元、政府采购工程支出0万元、政府采购服务支出95万元。主要用于考古及文物保护办公及</w:t>
      </w:r>
      <w:r>
        <w:rPr>
          <w:rFonts w:hint="eastAsia" w:ascii="仿宋" w:hAnsi="仿宋" w:eastAsia="仿宋" w:cs="仿宋"/>
          <w:color w:val="000000"/>
          <w:sz w:val="32"/>
          <w:szCs w:val="32"/>
          <w:highlight w:val="white"/>
        </w:rPr>
        <w:t>馆劳务派遣人员工资、保险、管理费等。</w:t>
      </w:r>
      <w:r>
        <w:rPr>
          <w:rFonts w:hint="eastAsia" w:ascii="仿宋" w:hAnsi="仿宋" w:eastAsia="仿宋" w:cs="仿宋"/>
          <w:color w:val="000000"/>
          <w:sz w:val="32"/>
          <w:szCs w:val="32"/>
        </w:rPr>
        <w:t>授予中小企业合同金额96.2万元，占政府采购支出总额的100%，其中：授予小微企业合同金额96.2万元，</w:t>
      </w:r>
      <w:r>
        <w:rPr>
          <w:rFonts w:hint="eastAsia" w:ascii="仿宋" w:hAnsi="仿宋" w:eastAsia="仿宋" w:cs="仿宋"/>
          <w:sz w:val="32"/>
          <w:szCs w:val="32"/>
        </w:rPr>
        <w:t>占政府采购支出总额的</w:t>
      </w:r>
      <w:r>
        <w:rPr>
          <w:rFonts w:hint="eastAsia" w:ascii="仿宋" w:hAnsi="仿宋" w:eastAsia="仿宋" w:cs="仿宋"/>
          <w:color w:val="000000"/>
          <w:sz w:val="32"/>
          <w:szCs w:val="32"/>
        </w:rPr>
        <w:t>100%。</w:t>
      </w:r>
    </w:p>
    <w:p>
      <w:pPr>
        <w:keepNext/>
        <w:keepLines/>
        <w:spacing w:line="576" w:lineRule="exact"/>
        <w:ind w:firstLine="640" w:firstLineChars="200"/>
        <w:rPr>
          <w:rFonts w:ascii="楷体" w:hAnsi="楷体" w:eastAsia="楷体" w:cs="楷体"/>
          <w:bCs/>
          <w:color w:val="000000"/>
          <w:sz w:val="32"/>
          <w:szCs w:val="32"/>
        </w:rPr>
      </w:pPr>
      <w:r>
        <w:rPr>
          <w:rFonts w:hint="eastAsia" w:ascii="楷体" w:hAnsi="楷体" w:eastAsia="楷体" w:cs="楷体"/>
          <w:bCs/>
          <w:color w:val="000000"/>
          <w:sz w:val="32"/>
          <w:szCs w:val="32"/>
        </w:rPr>
        <w:t>（三）国有资产占有使用情况</w:t>
      </w:r>
    </w:p>
    <w:p>
      <w:pPr>
        <w:autoSpaceDE w:val="0"/>
        <w:autoSpaceDN w:val="0"/>
        <w:adjustRightInd w:val="0"/>
        <w:spacing w:line="576" w:lineRule="exact"/>
        <w:ind w:firstLine="640" w:firstLineChars="200"/>
        <w:jc w:val="left"/>
        <w:outlineLvl w:val="2"/>
        <w:rPr>
          <w:rFonts w:ascii="仿宋" w:hAnsi="仿宋" w:eastAsia="仿宋" w:cs="仿宋"/>
          <w:b/>
          <w:bCs/>
          <w:color w:val="000000"/>
          <w:sz w:val="32"/>
          <w:szCs w:val="32"/>
        </w:rPr>
      </w:pPr>
      <w:bookmarkStart w:id="67" w:name="_Toc5260"/>
      <w:r>
        <w:rPr>
          <w:rFonts w:hint="eastAsia" w:ascii="仿宋" w:hAnsi="仿宋" w:eastAsia="仿宋" w:cs="仿宋"/>
          <w:color w:val="000000"/>
          <w:sz w:val="32"/>
          <w:szCs w:val="32"/>
        </w:rPr>
        <w:t>截至2022年12月31日，广元市博物馆共有车辆1辆，其中：其他用车1辆。其他用车主要是用于市内办事、考古调查、文物保护等。单价100万元以上专用设备0台（套）。</w:t>
      </w:r>
      <w:bookmarkEnd w:id="67"/>
    </w:p>
    <w:p>
      <w:pPr>
        <w:keepNext/>
        <w:keepLines/>
        <w:spacing w:line="576" w:lineRule="exact"/>
        <w:ind w:firstLine="640" w:firstLineChars="200"/>
        <w:rPr>
          <w:rFonts w:ascii="楷体" w:hAnsi="楷体" w:eastAsia="楷体" w:cs="楷体"/>
          <w:bCs/>
          <w:color w:val="000000"/>
          <w:sz w:val="32"/>
          <w:szCs w:val="32"/>
        </w:rPr>
      </w:pPr>
      <w:r>
        <w:rPr>
          <w:rFonts w:hint="eastAsia" w:ascii="楷体" w:hAnsi="楷体" w:eastAsia="楷体" w:cs="楷体"/>
          <w:bCs/>
          <w:color w:val="000000"/>
          <w:sz w:val="32"/>
          <w:szCs w:val="32"/>
        </w:rPr>
        <w:t>（四）预算绩效管理情况</w:t>
      </w:r>
    </w:p>
    <w:p>
      <w:pPr>
        <w:spacing w:line="576" w:lineRule="exact"/>
        <w:ind w:firstLine="640" w:firstLineChars="200"/>
        <w:rPr>
          <w:rFonts w:ascii="仿宋" w:hAnsi="仿宋" w:eastAsia="仿宋" w:cs="仿宋"/>
          <w:sz w:val="32"/>
          <w:szCs w:val="32"/>
        </w:rPr>
      </w:pPr>
      <w:r>
        <w:rPr>
          <w:rFonts w:hint="eastAsia" w:ascii="仿宋" w:hAnsi="仿宋" w:eastAsia="仿宋" w:cs="仿宋"/>
          <w:bCs/>
          <w:sz w:val="32"/>
          <w:szCs w:val="32"/>
        </w:rPr>
        <w:t>根据</w:t>
      </w:r>
      <w:r>
        <w:rPr>
          <w:rFonts w:hint="eastAsia" w:ascii="仿宋" w:hAnsi="仿宋" w:eastAsia="仿宋" w:cs="仿宋"/>
          <w:sz w:val="32"/>
          <w:szCs w:val="32"/>
        </w:rPr>
        <w:t>预算绩效管理要求，我馆在2022年度预算编制阶段，组织对博物馆纪念馆免费开放、临时展览、运行维护</w:t>
      </w:r>
      <w:r>
        <w:rPr>
          <w:rFonts w:hint="eastAsia" w:ascii="仿宋" w:hAnsi="仿宋" w:eastAsia="仿宋" w:cs="仿宋"/>
          <w:sz w:val="32"/>
          <w:szCs w:val="32"/>
          <w:lang w:val="en-US" w:eastAsia="zh-CN"/>
        </w:rPr>
        <w:t>9</w:t>
      </w:r>
      <w:r>
        <w:rPr>
          <w:rFonts w:hint="eastAsia" w:ascii="仿宋" w:hAnsi="仿宋" w:eastAsia="仿宋" w:cs="仿宋"/>
          <w:sz w:val="32"/>
          <w:szCs w:val="32"/>
        </w:rPr>
        <w:t>个项目开展了预算事前绩效评估，对</w:t>
      </w:r>
      <w:r>
        <w:rPr>
          <w:rFonts w:hint="eastAsia" w:ascii="仿宋" w:hAnsi="仿宋" w:eastAsia="仿宋" w:cs="仿宋"/>
          <w:sz w:val="32"/>
          <w:szCs w:val="32"/>
          <w:lang w:val="en-US" w:eastAsia="zh-CN"/>
        </w:rPr>
        <w:t>9</w:t>
      </w:r>
      <w:r>
        <w:rPr>
          <w:rFonts w:hint="eastAsia" w:ascii="仿宋" w:hAnsi="仿宋" w:eastAsia="仿宋" w:cs="仿宋"/>
          <w:sz w:val="32"/>
          <w:szCs w:val="32"/>
        </w:rPr>
        <w:t>个项目编制了绩效目标，评估编制了绩效 ，制定明确的用途和目标及详细的执行计划，资金到位及时并严格按照财政有关规定使用。预算决策、管理、执行等日益规范，能较好地满足工作需要，取得了良好社会效益。年终执行完毕后，对</w:t>
      </w:r>
      <w:r>
        <w:rPr>
          <w:rFonts w:hint="eastAsia" w:ascii="仿宋" w:hAnsi="仿宋" w:eastAsia="仿宋" w:cs="仿宋"/>
          <w:sz w:val="32"/>
          <w:szCs w:val="32"/>
          <w:lang w:val="en-US" w:eastAsia="zh-CN"/>
        </w:rPr>
        <w:t>9</w:t>
      </w:r>
      <w:r>
        <w:rPr>
          <w:rFonts w:hint="eastAsia" w:ascii="仿宋" w:hAnsi="仿宋" w:eastAsia="仿宋" w:cs="仿宋"/>
          <w:sz w:val="32"/>
          <w:szCs w:val="32"/>
        </w:rPr>
        <w:t>个项目开展绩效自评，2022年预算项目自评表见附件（第四部分）。</w:t>
      </w:r>
    </w:p>
    <w:p>
      <w:pPr>
        <w:spacing w:line="576" w:lineRule="exact"/>
        <w:ind w:firstLine="643" w:firstLineChars="200"/>
        <w:rPr>
          <w:rFonts w:ascii="仿宋" w:hAnsi="仿宋" w:eastAsia="仿宋" w:cs="仿宋"/>
          <w:b/>
          <w:color w:val="000000"/>
          <w:sz w:val="32"/>
          <w:szCs w:val="32"/>
        </w:rPr>
      </w:pPr>
    </w:p>
    <w:p>
      <w:pPr>
        <w:spacing w:line="576" w:lineRule="exact"/>
        <w:ind w:firstLine="641" w:firstLineChars="200"/>
        <w:outlineLvl w:val="1"/>
        <w:rPr>
          <w:rFonts w:ascii="华文仿宋" w:hAnsi="华文仿宋" w:eastAsia="华文仿宋"/>
          <w:b/>
          <w:sz w:val="32"/>
          <w:szCs w:val="32"/>
        </w:rPr>
      </w:pPr>
    </w:p>
    <w:p>
      <w:pPr>
        <w:spacing w:line="576" w:lineRule="exact"/>
        <w:jc w:val="center"/>
        <w:outlineLvl w:val="0"/>
        <w:rPr>
          <w:rFonts w:asciiTheme="majorEastAsia" w:hAnsiTheme="majorEastAsia" w:eastAsiaTheme="majorEastAsia" w:cstheme="majorEastAsia"/>
          <w:b/>
          <w:bCs/>
          <w:color w:val="000000"/>
          <w:sz w:val="44"/>
          <w:szCs w:val="44"/>
        </w:rPr>
      </w:pPr>
      <w:bookmarkStart w:id="68" w:name="_Toc15396614"/>
      <w:bookmarkStart w:id="69" w:name="_Toc15377226"/>
    </w:p>
    <w:p>
      <w:pPr>
        <w:pStyle w:val="2"/>
      </w:pPr>
    </w:p>
    <w:p>
      <w:pPr>
        <w:spacing w:line="576" w:lineRule="exact"/>
        <w:jc w:val="center"/>
        <w:outlineLvl w:val="0"/>
        <w:rPr>
          <w:rFonts w:asciiTheme="majorEastAsia" w:hAnsiTheme="majorEastAsia" w:eastAsiaTheme="majorEastAsia" w:cstheme="majorEastAsia"/>
          <w:b/>
          <w:bCs/>
          <w:color w:val="000000"/>
          <w:sz w:val="44"/>
          <w:szCs w:val="44"/>
        </w:rPr>
      </w:pPr>
    </w:p>
    <w:p>
      <w:pPr>
        <w:spacing w:line="576" w:lineRule="exact"/>
        <w:jc w:val="center"/>
        <w:outlineLvl w:val="0"/>
        <w:rPr>
          <w:rStyle w:val="30"/>
          <w:rFonts w:ascii="华文仿宋" w:hAnsi="华文仿宋" w:eastAsia="华文仿宋"/>
          <w:b w:val="0"/>
          <w:sz w:val="44"/>
          <w:szCs w:val="44"/>
        </w:rPr>
      </w:pPr>
      <w:bookmarkStart w:id="70" w:name="_Toc29790"/>
      <w:r>
        <w:rPr>
          <w:rFonts w:hint="eastAsia" w:asciiTheme="majorEastAsia" w:hAnsiTheme="majorEastAsia" w:eastAsiaTheme="majorEastAsia" w:cstheme="majorEastAsia"/>
          <w:b/>
          <w:bCs/>
          <w:color w:val="000000"/>
          <w:sz w:val="44"/>
          <w:szCs w:val="44"/>
        </w:rPr>
        <w:t>第三部分 名</w:t>
      </w:r>
      <w:r>
        <w:rPr>
          <w:rStyle w:val="30"/>
          <w:rFonts w:hint="eastAsia" w:asciiTheme="majorEastAsia" w:hAnsiTheme="majorEastAsia" w:eastAsiaTheme="majorEastAsia" w:cstheme="majorEastAsia"/>
          <w:bCs/>
          <w:sz w:val="44"/>
          <w:szCs w:val="44"/>
        </w:rPr>
        <w:t>词解释</w:t>
      </w:r>
      <w:bookmarkEnd w:id="70"/>
    </w:p>
    <w:p>
      <w:pPr>
        <w:spacing w:line="576" w:lineRule="exact"/>
        <w:ind w:firstLine="640" w:firstLineChars="200"/>
        <w:rPr>
          <w:rFonts w:ascii="华文仿宋" w:hAnsi="华文仿宋" w:eastAsia="华文仿宋"/>
          <w:sz w:val="32"/>
          <w:szCs w:val="32"/>
        </w:rPr>
      </w:pPr>
    </w:p>
    <w:p>
      <w:pPr>
        <w:spacing w:line="576" w:lineRule="exact"/>
        <w:ind w:firstLine="640" w:firstLineChars="200"/>
        <w:rPr>
          <w:rFonts w:ascii="仿宋" w:hAnsi="仿宋" w:eastAsia="仿宋" w:cs="仿宋"/>
          <w:sz w:val="32"/>
          <w:szCs w:val="32"/>
        </w:rPr>
      </w:pPr>
      <w:r>
        <w:rPr>
          <w:rFonts w:hint="default" w:ascii="黑体" w:hAnsi="黑体" w:eastAsia="黑体" w:cs="黑体"/>
          <w:sz w:val="32"/>
          <w:szCs w:val="32"/>
        </w:rPr>
        <w:t>1.</w:t>
      </w:r>
      <w:r>
        <w:rPr>
          <w:rFonts w:hint="eastAsia" w:ascii="黑体" w:hAnsi="黑体" w:eastAsia="黑体" w:cs="黑体"/>
          <w:sz w:val="32"/>
          <w:szCs w:val="32"/>
        </w:rPr>
        <w:t>财政拨款收入：</w:t>
      </w:r>
      <w:r>
        <w:rPr>
          <w:rFonts w:hint="eastAsia" w:ascii="仿宋" w:hAnsi="仿宋" w:eastAsia="仿宋" w:cs="仿宋"/>
          <w:sz w:val="32"/>
          <w:szCs w:val="32"/>
        </w:rPr>
        <w:t>指单位从同级财政部门取得的财政预算资金。</w:t>
      </w:r>
    </w:p>
    <w:p>
      <w:pPr>
        <w:spacing w:line="576" w:lineRule="exact"/>
        <w:ind w:firstLine="640" w:firstLineChars="200"/>
        <w:rPr>
          <w:rFonts w:ascii="仿宋" w:hAnsi="仿宋" w:eastAsia="仿宋" w:cs="仿宋"/>
          <w:sz w:val="32"/>
          <w:szCs w:val="32"/>
        </w:rPr>
      </w:pPr>
      <w:r>
        <w:rPr>
          <w:rFonts w:hint="default" w:ascii="黑体" w:hAnsi="黑体" w:eastAsia="黑体" w:cs="黑体"/>
          <w:sz w:val="32"/>
          <w:szCs w:val="32"/>
        </w:rPr>
        <w:t>2.</w:t>
      </w:r>
      <w:r>
        <w:rPr>
          <w:rFonts w:hint="eastAsia" w:ascii="黑体" w:hAnsi="黑体" w:eastAsia="黑体" w:cs="黑体"/>
          <w:sz w:val="32"/>
          <w:szCs w:val="32"/>
        </w:rPr>
        <w:t>年初结转和结余：</w:t>
      </w:r>
      <w:r>
        <w:rPr>
          <w:rFonts w:hint="eastAsia" w:ascii="仿宋" w:hAnsi="仿宋" w:eastAsia="仿宋" w:cs="仿宋"/>
          <w:sz w:val="32"/>
          <w:szCs w:val="32"/>
        </w:rPr>
        <w:t>指以前年度尚未完成、结转到本年按有关规定继续使用的资金。</w:t>
      </w:r>
    </w:p>
    <w:p>
      <w:pPr>
        <w:spacing w:line="576" w:lineRule="exact"/>
        <w:ind w:firstLine="640" w:firstLineChars="200"/>
        <w:rPr>
          <w:rFonts w:ascii="仿宋" w:hAnsi="仿宋" w:eastAsia="仿宋" w:cs="仿宋"/>
          <w:sz w:val="32"/>
          <w:szCs w:val="32"/>
        </w:rPr>
      </w:pPr>
      <w:r>
        <w:rPr>
          <w:rFonts w:hint="default" w:ascii="黑体" w:hAnsi="黑体" w:eastAsia="黑体" w:cs="黑体"/>
          <w:sz w:val="32"/>
          <w:szCs w:val="32"/>
        </w:rPr>
        <w:t>3.</w:t>
      </w:r>
      <w:r>
        <w:rPr>
          <w:rFonts w:hint="eastAsia" w:ascii="黑体" w:hAnsi="黑体" w:eastAsia="黑体" w:cs="黑体"/>
          <w:sz w:val="32"/>
          <w:szCs w:val="32"/>
        </w:rPr>
        <w:t>年末结转和结余：</w:t>
      </w:r>
      <w:r>
        <w:rPr>
          <w:rFonts w:hint="eastAsia" w:ascii="仿宋" w:hAnsi="仿宋" w:eastAsia="仿宋" w:cs="仿宋"/>
          <w:sz w:val="32"/>
          <w:szCs w:val="32"/>
        </w:rPr>
        <w:t>指单位按有关规定结转到下年或以后年度继续使用的资金。</w:t>
      </w:r>
    </w:p>
    <w:p>
      <w:pPr>
        <w:spacing w:line="576" w:lineRule="exact"/>
        <w:ind w:firstLine="640" w:firstLineChars="200"/>
        <w:rPr>
          <w:rFonts w:ascii="仿宋" w:hAnsi="仿宋" w:eastAsia="仿宋" w:cs="仿宋"/>
          <w:sz w:val="32"/>
          <w:szCs w:val="32"/>
        </w:rPr>
      </w:pPr>
      <w:r>
        <w:rPr>
          <w:rFonts w:hint="default" w:ascii="黑体" w:hAnsi="黑体" w:eastAsia="黑体" w:cs="黑体"/>
          <w:sz w:val="32"/>
          <w:szCs w:val="32"/>
        </w:rPr>
        <w:t>4.</w:t>
      </w:r>
      <w:r>
        <w:rPr>
          <w:rFonts w:hint="eastAsia" w:ascii="黑体" w:hAnsi="黑体" w:eastAsia="黑体" w:cs="黑体"/>
          <w:sz w:val="32"/>
          <w:szCs w:val="32"/>
        </w:rPr>
        <w:t>文化旅游体育与传媒支出（类）文物（款）博物馆（项）支出：</w:t>
      </w:r>
      <w:r>
        <w:rPr>
          <w:rFonts w:hint="eastAsia" w:ascii="仿宋" w:hAnsi="仿宋" w:eastAsia="仿宋" w:cs="仿宋"/>
          <w:sz w:val="32"/>
          <w:szCs w:val="32"/>
        </w:rPr>
        <w:t>反映免费开放、临时展览、运行维护方面的支出。</w:t>
      </w:r>
    </w:p>
    <w:p>
      <w:pPr>
        <w:spacing w:line="576" w:lineRule="exact"/>
        <w:ind w:firstLine="640" w:firstLineChars="200"/>
        <w:rPr>
          <w:rFonts w:ascii="仿宋" w:hAnsi="仿宋" w:eastAsia="仿宋" w:cs="仿宋"/>
          <w:sz w:val="32"/>
          <w:szCs w:val="32"/>
        </w:rPr>
      </w:pPr>
      <w:r>
        <w:rPr>
          <w:rFonts w:hint="default" w:ascii="黑体" w:hAnsi="黑体" w:eastAsia="黑体" w:cs="黑体"/>
          <w:sz w:val="32"/>
          <w:szCs w:val="32"/>
        </w:rPr>
        <w:t>5.</w:t>
      </w:r>
      <w:r>
        <w:rPr>
          <w:rFonts w:hint="eastAsia" w:ascii="黑体" w:hAnsi="黑体" w:eastAsia="黑体" w:cs="黑体"/>
          <w:sz w:val="32"/>
          <w:szCs w:val="32"/>
        </w:rPr>
        <w:t xml:space="preserve">社会保障和就业支出（类）行政事业单位养老支出（款）机关事业单位基本养老保险缴费支出（项）: </w:t>
      </w:r>
      <w:r>
        <w:rPr>
          <w:rFonts w:hint="eastAsia" w:ascii="仿宋" w:hAnsi="仿宋" w:eastAsia="仿宋" w:cs="仿宋"/>
          <w:sz w:val="32"/>
          <w:szCs w:val="32"/>
        </w:rPr>
        <w:t>反映机关事业单位实施养老保险制度由单位缴纳的基本养老保险支出。</w:t>
      </w:r>
    </w:p>
    <w:p>
      <w:pPr>
        <w:spacing w:line="576" w:lineRule="exact"/>
        <w:ind w:firstLine="640" w:firstLineChars="200"/>
        <w:rPr>
          <w:rFonts w:ascii="仿宋" w:hAnsi="仿宋" w:eastAsia="仿宋" w:cs="仿宋"/>
          <w:sz w:val="32"/>
          <w:szCs w:val="32"/>
        </w:rPr>
      </w:pPr>
      <w:r>
        <w:rPr>
          <w:rFonts w:hint="default" w:ascii="黑体" w:hAnsi="黑体" w:eastAsia="黑体" w:cs="黑体"/>
          <w:sz w:val="32"/>
          <w:szCs w:val="32"/>
        </w:rPr>
        <w:t>6.</w:t>
      </w:r>
      <w:r>
        <w:rPr>
          <w:rFonts w:hint="eastAsia" w:ascii="黑体" w:hAnsi="黑体" w:eastAsia="黑体" w:cs="黑体"/>
          <w:sz w:val="32"/>
          <w:szCs w:val="32"/>
        </w:rPr>
        <w:t>卫生健康支出（类）行政事业单位医疗（款）事业单位医疗（项）:</w:t>
      </w:r>
      <w:r>
        <w:rPr>
          <w:rFonts w:hint="eastAsia" w:ascii="仿宋" w:hAnsi="仿宋" w:eastAsia="仿宋" w:cs="仿宋"/>
          <w:sz w:val="32"/>
          <w:szCs w:val="32"/>
        </w:rPr>
        <w:t>反映财政部门安排的事业单位基本医疗保险缴费经费，未参加医疗保险的事业单位的公费医疗经费,按国家规定享受离休人员待過的医疗经费。</w:t>
      </w:r>
    </w:p>
    <w:p>
      <w:pPr>
        <w:spacing w:line="576" w:lineRule="exact"/>
        <w:ind w:firstLine="640" w:firstLineChars="200"/>
        <w:rPr>
          <w:rFonts w:ascii="仿宋" w:hAnsi="仿宋" w:eastAsia="仿宋" w:cs="仿宋"/>
          <w:sz w:val="32"/>
          <w:szCs w:val="32"/>
        </w:rPr>
      </w:pPr>
      <w:r>
        <w:rPr>
          <w:rFonts w:hint="default" w:ascii="黑体" w:hAnsi="黑体" w:eastAsia="黑体" w:cs="黑体"/>
          <w:sz w:val="32"/>
          <w:szCs w:val="32"/>
        </w:rPr>
        <w:t>7.</w:t>
      </w:r>
      <w:r>
        <w:rPr>
          <w:rFonts w:hint="eastAsia" w:ascii="黑体" w:hAnsi="黑体" w:eastAsia="黑体" w:cs="黑体"/>
          <w:sz w:val="32"/>
          <w:szCs w:val="32"/>
        </w:rPr>
        <w:t xml:space="preserve">住房保障支出（类）住房改革支出（款）住房公积金（项）: </w:t>
      </w:r>
      <w:r>
        <w:rPr>
          <w:rFonts w:hint="eastAsia" w:ascii="仿宋" w:hAnsi="仿宋" w:eastAsia="仿宋" w:cs="仿宋"/>
          <w:sz w:val="32"/>
          <w:szCs w:val="32"/>
        </w:rPr>
        <w:t>反映行政事业单位按人力资源和社会保障部、财政部规定的基本工资和津贴补贴以及规定比例为职工缴纳的住房公积金。</w:t>
      </w:r>
    </w:p>
    <w:p>
      <w:pPr>
        <w:spacing w:line="576" w:lineRule="exact"/>
        <w:ind w:firstLine="640" w:firstLineChars="200"/>
        <w:rPr>
          <w:rFonts w:ascii="仿宋" w:hAnsi="仿宋" w:eastAsia="仿宋" w:cs="仿宋"/>
          <w:sz w:val="32"/>
          <w:szCs w:val="32"/>
        </w:rPr>
      </w:pPr>
      <w:r>
        <w:rPr>
          <w:rFonts w:hint="default" w:ascii="黑体" w:hAnsi="黑体" w:eastAsia="黑体" w:cs="黑体"/>
          <w:sz w:val="32"/>
          <w:szCs w:val="32"/>
        </w:rPr>
        <w:t>8.</w:t>
      </w:r>
      <w:r>
        <w:rPr>
          <w:rFonts w:hint="eastAsia" w:ascii="黑体" w:hAnsi="黑体" w:eastAsia="黑体" w:cs="黑体"/>
          <w:sz w:val="32"/>
          <w:szCs w:val="32"/>
        </w:rPr>
        <w:t>基本支出：</w:t>
      </w:r>
      <w:r>
        <w:rPr>
          <w:rFonts w:hint="eastAsia" w:ascii="仿宋" w:hAnsi="仿宋" w:eastAsia="仿宋" w:cs="仿宋"/>
          <w:sz w:val="32"/>
          <w:szCs w:val="32"/>
        </w:rPr>
        <w:t>指为保障机构正常运转、完成日常工作任务而发生的人员支出和公用支出。</w:t>
      </w:r>
    </w:p>
    <w:p>
      <w:pPr>
        <w:spacing w:line="576" w:lineRule="exact"/>
        <w:ind w:firstLine="640" w:firstLineChars="200"/>
        <w:rPr>
          <w:rFonts w:ascii="仿宋" w:hAnsi="仿宋" w:eastAsia="仿宋" w:cs="仿宋"/>
          <w:sz w:val="32"/>
          <w:szCs w:val="32"/>
        </w:rPr>
      </w:pPr>
      <w:r>
        <w:rPr>
          <w:rFonts w:hint="default" w:ascii="黑体" w:hAnsi="黑体" w:eastAsia="黑体" w:cs="黑体"/>
          <w:sz w:val="32"/>
          <w:szCs w:val="32"/>
        </w:rPr>
        <w:t>9.</w:t>
      </w:r>
      <w:r>
        <w:rPr>
          <w:rFonts w:hint="eastAsia" w:ascii="黑体" w:hAnsi="黑体" w:eastAsia="黑体" w:cs="黑体"/>
          <w:sz w:val="32"/>
          <w:szCs w:val="32"/>
        </w:rPr>
        <w:t>项目支出：</w:t>
      </w:r>
      <w:r>
        <w:rPr>
          <w:rFonts w:hint="eastAsia" w:ascii="仿宋" w:hAnsi="仿宋" w:eastAsia="仿宋" w:cs="仿宋"/>
          <w:sz w:val="32"/>
          <w:szCs w:val="32"/>
        </w:rPr>
        <w:t xml:space="preserve">指在基本支出之外为完成特定行政任务和事业发展目标所发生的支出。 </w:t>
      </w:r>
    </w:p>
    <w:p>
      <w:pPr>
        <w:spacing w:line="576" w:lineRule="exact"/>
        <w:ind w:firstLine="640" w:firstLineChars="200"/>
        <w:rPr>
          <w:rFonts w:ascii="仿宋" w:hAnsi="仿宋" w:eastAsia="仿宋" w:cs="仿宋"/>
          <w:sz w:val="32"/>
          <w:szCs w:val="32"/>
        </w:rPr>
      </w:pPr>
      <w:r>
        <w:rPr>
          <w:rFonts w:hint="default" w:ascii="黑体" w:hAnsi="黑体" w:eastAsia="黑体" w:cs="黑体"/>
          <w:sz w:val="32"/>
          <w:szCs w:val="32"/>
        </w:rPr>
        <w:t>10.</w:t>
      </w:r>
      <w:r>
        <w:rPr>
          <w:rFonts w:hint="eastAsia" w:ascii="黑体" w:hAnsi="黑体" w:eastAsia="黑体" w:cs="黑体"/>
          <w:sz w:val="32"/>
          <w:szCs w:val="32"/>
        </w:rPr>
        <w:t>“三公”经费：</w:t>
      </w:r>
      <w:r>
        <w:rPr>
          <w:rFonts w:hint="eastAsia" w:ascii="仿宋" w:hAnsi="仿宋" w:eastAsia="仿宋" w:cs="仿宋"/>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76" w:lineRule="exact"/>
        <w:ind w:firstLine="640" w:firstLineChars="200"/>
        <w:jc w:val="center"/>
        <w:outlineLvl w:val="0"/>
        <w:rPr>
          <w:rFonts w:ascii="华文仿宋" w:hAnsi="华文仿宋" w:eastAsia="华文仿宋"/>
          <w:color w:val="000000"/>
          <w:sz w:val="32"/>
          <w:szCs w:val="32"/>
        </w:rPr>
      </w:pPr>
    </w:p>
    <w:p>
      <w:pPr>
        <w:spacing w:line="576" w:lineRule="exact"/>
        <w:ind w:firstLine="880" w:firstLineChars="200"/>
        <w:jc w:val="center"/>
        <w:outlineLvl w:val="0"/>
        <w:rPr>
          <w:rFonts w:ascii="华文仿宋" w:hAnsi="华文仿宋" w:eastAsia="华文仿宋"/>
          <w:sz w:val="44"/>
          <w:szCs w:val="44"/>
        </w:rPr>
      </w:pPr>
    </w:p>
    <w:p>
      <w:pPr>
        <w:spacing w:line="576" w:lineRule="exact"/>
        <w:ind w:firstLine="880" w:firstLineChars="200"/>
        <w:jc w:val="center"/>
        <w:outlineLvl w:val="0"/>
        <w:rPr>
          <w:rFonts w:ascii="华文仿宋" w:hAnsi="华文仿宋" w:eastAsia="华文仿宋"/>
          <w:sz w:val="44"/>
          <w:szCs w:val="44"/>
        </w:rPr>
      </w:pPr>
    </w:p>
    <w:p>
      <w:pPr>
        <w:spacing w:line="576" w:lineRule="exact"/>
        <w:ind w:firstLine="880" w:firstLineChars="200"/>
        <w:jc w:val="center"/>
        <w:outlineLvl w:val="0"/>
        <w:rPr>
          <w:rFonts w:ascii="华文仿宋" w:hAnsi="华文仿宋" w:eastAsia="华文仿宋"/>
          <w:sz w:val="44"/>
          <w:szCs w:val="44"/>
        </w:rPr>
      </w:pPr>
    </w:p>
    <w:p>
      <w:pPr>
        <w:spacing w:line="576" w:lineRule="exact"/>
        <w:ind w:firstLine="880" w:firstLineChars="200"/>
        <w:jc w:val="center"/>
        <w:outlineLvl w:val="0"/>
        <w:rPr>
          <w:rFonts w:ascii="华文仿宋" w:hAnsi="华文仿宋" w:eastAsia="华文仿宋"/>
          <w:sz w:val="44"/>
          <w:szCs w:val="44"/>
        </w:rPr>
      </w:pPr>
    </w:p>
    <w:p>
      <w:pPr>
        <w:spacing w:line="576" w:lineRule="exact"/>
        <w:ind w:firstLine="880" w:firstLineChars="200"/>
        <w:jc w:val="center"/>
        <w:outlineLvl w:val="0"/>
        <w:rPr>
          <w:rFonts w:ascii="华文仿宋" w:hAnsi="华文仿宋" w:eastAsia="华文仿宋"/>
          <w:sz w:val="44"/>
          <w:szCs w:val="44"/>
        </w:rPr>
      </w:pPr>
    </w:p>
    <w:p>
      <w:pPr>
        <w:spacing w:line="576" w:lineRule="exact"/>
        <w:ind w:firstLine="880" w:firstLineChars="200"/>
        <w:jc w:val="center"/>
        <w:outlineLvl w:val="0"/>
        <w:rPr>
          <w:rFonts w:ascii="华文仿宋" w:hAnsi="华文仿宋" w:eastAsia="华文仿宋"/>
          <w:sz w:val="44"/>
          <w:szCs w:val="44"/>
        </w:rPr>
      </w:pPr>
    </w:p>
    <w:p>
      <w:pPr>
        <w:spacing w:line="576" w:lineRule="exact"/>
        <w:ind w:firstLine="880" w:firstLineChars="200"/>
        <w:jc w:val="center"/>
        <w:outlineLvl w:val="0"/>
        <w:rPr>
          <w:rFonts w:ascii="华文仿宋" w:hAnsi="华文仿宋" w:eastAsia="华文仿宋"/>
          <w:sz w:val="44"/>
          <w:szCs w:val="44"/>
        </w:rPr>
      </w:pPr>
    </w:p>
    <w:p>
      <w:pPr>
        <w:spacing w:line="576" w:lineRule="exact"/>
        <w:ind w:firstLine="880" w:firstLineChars="200"/>
        <w:jc w:val="center"/>
        <w:outlineLvl w:val="0"/>
        <w:rPr>
          <w:rFonts w:ascii="华文仿宋" w:hAnsi="华文仿宋" w:eastAsia="华文仿宋"/>
          <w:sz w:val="44"/>
          <w:szCs w:val="44"/>
        </w:rPr>
      </w:pPr>
    </w:p>
    <w:p>
      <w:pPr>
        <w:spacing w:line="576" w:lineRule="exact"/>
        <w:ind w:firstLine="880" w:firstLineChars="200"/>
        <w:jc w:val="center"/>
        <w:outlineLvl w:val="0"/>
        <w:rPr>
          <w:rFonts w:ascii="华文仿宋" w:hAnsi="华文仿宋" w:eastAsia="华文仿宋"/>
          <w:sz w:val="44"/>
          <w:szCs w:val="44"/>
        </w:rPr>
      </w:pPr>
    </w:p>
    <w:p>
      <w:pPr>
        <w:spacing w:line="576" w:lineRule="exact"/>
        <w:ind w:firstLine="880" w:firstLineChars="200"/>
        <w:jc w:val="center"/>
        <w:outlineLvl w:val="0"/>
        <w:rPr>
          <w:rFonts w:ascii="华文仿宋" w:hAnsi="华文仿宋" w:eastAsia="华文仿宋"/>
          <w:sz w:val="44"/>
          <w:szCs w:val="44"/>
        </w:rPr>
      </w:pPr>
    </w:p>
    <w:p>
      <w:pPr>
        <w:spacing w:line="576" w:lineRule="exact"/>
        <w:ind w:firstLine="880" w:firstLineChars="200"/>
        <w:jc w:val="center"/>
        <w:outlineLvl w:val="0"/>
        <w:rPr>
          <w:rFonts w:ascii="华文仿宋" w:hAnsi="华文仿宋" w:eastAsia="华文仿宋"/>
          <w:sz w:val="44"/>
          <w:szCs w:val="44"/>
        </w:rPr>
      </w:pPr>
    </w:p>
    <w:p>
      <w:pPr>
        <w:pStyle w:val="2"/>
        <w:spacing w:before="93"/>
      </w:pPr>
    </w:p>
    <w:p>
      <w:pPr>
        <w:spacing w:line="576" w:lineRule="exact"/>
        <w:outlineLvl w:val="0"/>
        <w:rPr>
          <w:rFonts w:ascii="华文仿宋" w:hAnsi="华文仿宋" w:eastAsia="华文仿宋"/>
          <w:sz w:val="44"/>
          <w:szCs w:val="44"/>
        </w:rPr>
      </w:pPr>
    </w:p>
    <w:p>
      <w:pPr>
        <w:spacing w:line="576" w:lineRule="atLeast"/>
        <w:jc w:val="center"/>
        <w:outlineLvl w:val="0"/>
        <w:rPr>
          <w:rStyle w:val="24"/>
          <w:rFonts w:asciiTheme="majorEastAsia" w:hAnsiTheme="majorEastAsia" w:eastAsiaTheme="majorEastAsia" w:cstheme="majorEastAsia"/>
        </w:rPr>
      </w:pPr>
      <w:bookmarkStart w:id="71" w:name="_Toc20524"/>
      <w:r>
        <w:rPr>
          <w:rStyle w:val="24"/>
          <w:rFonts w:hint="eastAsia" w:asciiTheme="majorEastAsia" w:hAnsiTheme="majorEastAsia" w:eastAsiaTheme="majorEastAsia" w:cstheme="majorEastAsia"/>
        </w:rPr>
        <w:t>第四部分 附件</w:t>
      </w:r>
      <w:bookmarkEnd w:id="68"/>
      <w:bookmarkEnd w:id="71"/>
    </w:p>
    <w:p>
      <w:pPr>
        <w:pStyle w:val="2"/>
        <w:spacing w:before="93"/>
        <w:rPr>
          <w:rFonts w:ascii="黑体" w:hAnsi="黑体" w:eastAsia="黑体" w:cs="黑体"/>
          <w:sz w:val="32"/>
          <w:szCs w:val="32"/>
        </w:rPr>
      </w:pPr>
      <w:r>
        <w:rPr>
          <w:rFonts w:hint="eastAsia" w:ascii="黑体" w:hAnsi="黑体" w:eastAsia="黑体" w:cs="黑体"/>
          <w:sz w:val="32"/>
          <w:szCs w:val="32"/>
        </w:rPr>
        <w:t>附件1</w:t>
      </w:r>
    </w:p>
    <w:tbl>
      <w:tblPr>
        <w:tblStyle w:val="12"/>
        <w:tblW w:w="9340" w:type="dxa"/>
        <w:jc w:val="center"/>
        <w:tblLayout w:type="autofit"/>
        <w:tblCellMar>
          <w:top w:w="0" w:type="dxa"/>
          <w:left w:w="108" w:type="dxa"/>
          <w:bottom w:w="0" w:type="dxa"/>
          <w:right w:w="108" w:type="dxa"/>
        </w:tblCellMar>
      </w:tblPr>
      <w:tblGrid>
        <w:gridCol w:w="576"/>
        <w:gridCol w:w="1176"/>
        <w:gridCol w:w="1044"/>
        <w:gridCol w:w="1299"/>
        <w:gridCol w:w="396"/>
        <w:gridCol w:w="962"/>
        <w:gridCol w:w="396"/>
        <w:gridCol w:w="846"/>
        <w:gridCol w:w="576"/>
        <w:gridCol w:w="576"/>
        <w:gridCol w:w="1493"/>
      </w:tblGrid>
      <w:tr>
        <w:tblPrEx>
          <w:tblCellMar>
            <w:top w:w="0" w:type="dxa"/>
            <w:left w:w="108" w:type="dxa"/>
            <w:bottom w:w="0" w:type="dxa"/>
            <w:right w:w="108" w:type="dxa"/>
          </w:tblCellMar>
        </w:tblPrEx>
        <w:trPr>
          <w:trHeight w:val="90" w:hRule="atLeast"/>
          <w:jc w:val="center"/>
        </w:trPr>
        <w:tc>
          <w:tcPr>
            <w:tcW w:w="93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90" w:hRule="atLeast"/>
          <w:jc w:val="center"/>
        </w:trPr>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57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51000021R000000019951-工资性支出</w:t>
            </w:r>
          </w:p>
        </w:tc>
      </w:tr>
      <w:tr>
        <w:tblPrEx>
          <w:tblCellMar>
            <w:top w:w="0" w:type="dxa"/>
            <w:left w:w="108" w:type="dxa"/>
            <w:bottom w:w="0" w:type="dxa"/>
            <w:right w:w="108" w:type="dxa"/>
          </w:tblCellMar>
        </w:tblPrEx>
        <w:trPr>
          <w:trHeight w:val="90" w:hRule="atLeast"/>
          <w:jc w:val="center"/>
        </w:trPr>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790" w:type="dxa"/>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 xml:space="preserve">实施单位 </w:t>
            </w:r>
          </w:p>
        </w:tc>
        <w:tc>
          <w:tcPr>
            <w:tcW w:w="26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广元市博物馆</w:t>
            </w:r>
          </w:p>
        </w:tc>
      </w:tr>
      <w:tr>
        <w:tblPrEx>
          <w:tblCellMar>
            <w:top w:w="0" w:type="dxa"/>
            <w:left w:w="108" w:type="dxa"/>
            <w:bottom w:w="0" w:type="dxa"/>
            <w:right w:w="108" w:type="dxa"/>
          </w:tblCellMar>
        </w:tblPrEx>
        <w:trPr>
          <w:trHeight w:val="90"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严格执行相关政策，保障工资及时发放、足额发放，预算编制科学合理，减少结余资金</w:t>
            </w:r>
          </w:p>
        </w:tc>
        <w:tc>
          <w:tcPr>
            <w:tcW w:w="34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严格执行相关政策，保障工资及时发放、足额发放，预算编制科学合理，减少结余资金</w:t>
            </w: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57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认真严格执行相关政策，保障工资及时足额发放。</w:t>
            </w:r>
          </w:p>
        </w:tc>
      </w:tr>
      <w:tr>
        <w:tblPrEx>
          <w:tblCellMar>
            <w:top w:w="0" w:type="dxa"/>
            <w:left w:w="108" w:type="dxa"/>
            <w:bottom w:w="0" w:type="dxa"/>
            <w:right w:w="108" w:type="dxa"/>
          </w:tblCellMar>
        </w:tblPrEx>
        <w:trPr>
          <w:trHeight w:val="90"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66.58</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66.58</w:t>
            </w:r>
          </w:p>
        </w:tc>
        <w:tc>
          <w:tcPr>
            <w:tcW w:w="1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66.58</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i/>
                <w:iCs/>
                <w:color w:val="000000"/>
                <w:sz w:val="18"/>
                <w:szCs w:val="18"/>
              </w:rPr>
            </w:pPr>
            <w:r>
              <w:rPr>
                <w:rFonts w:hint="eastAsia" w:ascii="黑体" w:hAnsi="黑体" w:eastAsia="黑体" w:cs="黑体"/>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66.58</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66.58</w:t>
            </w:r>
          </w:p>
        </w:tc>
        <w:tc>
          <w:tcPr>
            <w:tcW w:w="1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66.58</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90"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科目调整次数</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21.5</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足额保障率</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21.5</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按时发放率</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经济效益指标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结余率（计算方法为：结余数/预算数）</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90" w:hRule="atLeast"/>
          <w:jc w:val="center"/>
        </w:trPr>
        <w:tc>
          <w:tcPr>
            <w:tcW w:w="67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98</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80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结合自评情况，说明项目自评总分99分，按时发放职工工资并交纳五险一金。         </w:t>
            </w:r>
          </w:p>
        </w:tc>
      </w:tr>
      <w:tr>
        <w:tblPrEx>
          <w:tblCellMar>
            <w:top w:w="0" w:type="dxa"/>
            <w:left w:w="108" w:type="dxa"/>
            <w:bottom w:w="0" w:type="dxa"/>
            <w:right w:w="108" w:type="dxa"/>
          </w:tblCellMar>
        </w:tblPrEx>
        <w:trPr>
          <w:trHeight w:val="90"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80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90"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80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582" w:hRule="atLeast"/>
          <w:jc w:val="center"/>
        </w:trPr>
        <w:tc>
          <w:tcPr>
            <w:tcW w:w="45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项目负责人：王洪燕</w:t>
            </w:r>
          </w:p>
        </w:tc>
        <w:tc>
          <w:tcPr>
            <w:tcW w:w="47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财务负责人：张继钢</w:t>
            </w:r>
          </w:p>
        </w:tc>
      </w:tr>
    </w:tbl>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rPr>
          <w:rFonts w:ascii="黑体" w:hAnsi="黑体" w:eastAsia="黑体" w:cs="黑体"/>
          <w:sz w:val="32"/>
          <w:szCs w:val="32"/>
        </w:rPr>
      </w:pPr>
      <w:r>
        <w:rPr>
          <w:rFonts w:hint="eastAsia" w:ascii="黑体" w:hAnsi="黑体" w:eastAsia="黑体" w:cs="黑体"/>
          <w:sz w:val="32"/>
          <w:szCs w:val="32"/>
        </w:rPr>
        <w:t>附件2</w:t>
      </w:r>
    </w:p>
    <w:tbl>
      <w:tblPr>
        <w:tblStyle w:val="12"/>
        <w:tblW w:w="9440" w:type="dxa"/>
        <w:jc w:val="center"/>
        <w:tblLayout w:type="autofit"/>
        <w:tblCellMar>
          <w:top w:w="0" w:type="dxa"/>
          <w:left w:w="108" w:type="dxa"/>
          <w:bottom w:w="0" w:type="dxa"/>
          <w:right w:w="108" w:type="dxa"/>
        </w:tblCellMar>
      </w:tblPr>
      <w:tblGrid>
        <w:gridCol w:w="576"/>
        <w:gridCol w:w="1175"/>
        <w:gridCol w:w="1028"/>
        <w:gridCol w:w="1418"/>
        <w:gridCol w:w="396"/>
        <w:gridCol w:w="961"/>
        <w:gridCol w:w="396"/>
        <w:gridCol w:w="846"/>
        <w:gridCol w:w="576"/>
        <w:gridCol w:w="576"/>
        <w:gridCol w:w="1492"/>
      </w:tblGrid>
      <w:tr>
        <w:tblPrEx>
          <w:tblCellMar>
            <w:top w:w="0" w:type="dxa"/>
            <w:left w:w="108" w:type="dxa"/>
            <w:bottom w:w="0" w:type="dxa"/>
            <w:right w:w="108" w:type="dxa"/>
          </w:tblCellMar>
        </w:tblPrEx>
        <w:trPr>
          <w:trHeight w:val="497" w:hRule="atLeast"/>
          <w:jc w:val="center"/>
        </w:trPr>
        <w:tc>
          <w:tcPr>
            <w:tcW w:w="94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53" w:hRule="atLeast"/>
          <w:jc w:val="center"/>
        </w:trPr>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67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51080021Y000000176770-其他公用经费（福利、工会、公车补贴、党建、退休活动）</w:t>
            </w:r>
          </w:p>
        </w:tc>
      </w:tr>
      <w:tr>
        <w:tblPrEx>
          <w:tblCellMar>
            <w:top w:w="0" w:type="dxa"/>
            <w:left w:w="108" w:type="dxa"/>
            <w:bottom w:w="0" w:type="dxa"/>
            <w:right w:w="108" w:type="dxa"/>
          </w:tblCellMar>
        </w:tblPrEx>
        <w:trPr>
          <w:trHeight w:val="741" w:hRule="atLeast"/>
          <w:jc w:val="center"/>
        </w:trPr>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805" w:type="dxa"/>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 xml:space="preserve">实施单位 </w:t>
            </w:r>
          </w:p>
        </w:tc>
        <w:tc>
          <w:tcPr>
            <w:tcW w:w="2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广元市博物馆</w:t>
            </w:r>
          </w:p>
        </w:tc>
      </w:tr>
      <w:tr>
        <w:tblPrEx>
          <w:tblCellMar>
            <w:top w:w="0" w:type="dxa"/>
            <w:left w:w="108" w:type="dxa"/>
            <w:bottom w:w="0" w:type="dxa"/>
            <w:right w:w="108" w:type="dxa"/>
          </w:tblCellMar>
        </w:tblPrEx>
        <w:trPr>
          <w:trHeight w:val="253" w:hRule="atLeast"/>
          <w:jc w:val="center"/>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4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497"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保障单位日常运转，提高预算编制质量，严格执行预算</w:t>
            </w:r>
          </w:p>
        </w:tc>
        <w:tc>
          <w:tcPr>
            <w:tcW w:w="34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保障单位日常运转，提高预算编制质量，严格执行预算</w:t>
            </w:r>
          </w:p>
        </w:tc>
      </w:tr>
      <w:tr>
        <w:tblPrEx>
          <w:tblCellMar>
            <w:top w:w="0" w:type="dxa"/>
            <w:left w:w="108" w:type="dxa"/>
            <w:bottom w:w="0" w:type="dxa"/>
            <w:right w:w="108" w:type="dxa"/>
          </w:tblCellMar>
        </w:tblPrEx>
        <w:trPr>
          <w:trHeight w:val="741"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67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通过项目实施保障单位日常运转。</w:t>
            </w:r>
          </w:p>
        </w:tc>
      </w:tr>
      <w:tr>
        <w:tblPrEx>
          <w:tblCellMar>
            <w:top w:w="0" w:type="dxa"/>
            <w:left w:w="108" w:type="dxa"/>
            <w:bottom w:w="0" w:type="dxa"/>
            <w:right w:w="108" w:type="dxa"/>
          </w:tblCellMar>
        </w:tblPrEx>
        <w:trPr>
          <w:trHeight w:val="497" w:hRule="atLeast"/>
          <w:jc w:val="center"/>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253"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4.60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4.60</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4.60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97"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4.60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4.60</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4.60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97"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253"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1443"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985" w:hRule="atLeast"/>
          <w:jc w:val="center"/>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253"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科目调整次数</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985"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质量指标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预算编制准确率（计算方法为：∣（执行数-预算数）/预算数∣）</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3"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经济效益指标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运转保障率</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1474"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“三公经费”控制率[计算方法为：（三公经费实际支出数/预算安排数]×100%）</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53" w:hRule="atLeast"/>
          <w:jc w:val="center"/>
        </w:trPr>
        <w:tc>
          <w:tcPr>
            <w:tcW w:w="680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97"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89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结合自评情况，说明项目自评总分98分，保障单位日常运转，提高预算编制质量，严格执行预算     . </w:t>
            </w:r>
          </w:p>
        </w:tc>
      </w:tr>
      <w:tr>
        <w:tblPrEx>
          <w:tblCellMar>
            <w:top w:w="0" w:type="dxa"/>
            <w:left w:w="108" w:type="dxa"/>
            <w:bottom w:w="0" w:type="dxa"/>
            <w:right w:w="108" w:type="dxa"/>
          </w:tblCellMar>
        </w:tblPrEx>
        <w:trPr>
          <w:trHeight w:val="497"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89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497" w:hRule="atLeast"/>
          <w:jc w:val="center"/>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89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702" w:hRule="atLeast"/>
          <w:jc w:val="center"/>
        </w:trPr>
        <w:tc>
          <w:tcPr>
            <w:tcW w:w="46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项目负责人：王洪燕</w:t>
            </w:r>
          </w:p>
        </w:tc>
        <w:tc>
          <w:tcPr>
            <w:tcW w:w="48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财务负责人：张继钢</w:t>
            </w:r>
          </w:p>
        </w:tc>
      </w:tr>
    </w:tbl>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hint="eastAsia" w:ascii="黑体" w:hAnsi="黑体" w:eastAsia="黑体" w:cs="黑体"/>
          <w:sz w:val="32"/>
          <w:szCs w:val="32"/>
        </w:rPr>
      </w:pPr>
    </w:p>
    <w:p>
      <w:pPr>
        <w:pStyle w:val="2"/>
        <w:spacing w:before="93"/>
        <w:rPr>
          <w:rFonts w:ascii="黑体" w:hAnsi="黑体" w:eastAsia="黑体" w:cs="黑体"/>
          <w:sz w:val="32"/>
          <w:szCs w:val="32"/>
        </w:rPr>
      </w:pPr>
    </w:p>
    <w:p>
      <w:pPr>
        <w:pStyle w:val="2"/>
        <w:spacing w:before="93"/>
        <w:rPr>
          <w:rFonts w:ascii="黑体" w:hAnsi="黑体" w:eastAsia="黑体" w:cs="黑体"/>
          <w:sz w:val="32"/>
          <w:szCs w:val="32"/>
        </w:rPr>
      </w:pPr>
      <w:r>
        <w:rPr>
          <w:rFonts w:hint="eastAsia" w:ascii="黑体" w:hAnsi="黑体" w:eastAsia="黑体" w:cs="黑体"/>
          <w:sz w:val="32"/>
          <w:szCs w:val="32"/>
        </w:rPr>
        <w:t>附件3</w:t>
      </w:r>
    </w:p>
    <w:tbl>
      <w:tblPr>
        <w:tblStyle w:val="12"/>
        <w:tblW w:w="9460" w:type="dxa"/>
        <w:jc w:val="center"/>
        <w:tblLayout w:type="autofit"/>
        <w:tblCellMar>
          <w:top w:w="0" w:type="dxa"/>
          <w:left w:w="108" w:type="dxa"/>
          <w:bottom w:w="0" w:type="dxa"/>
          <w:right w:w="108" w:type="dxa"/>
        </w:tblCellMar>
      </w:tblPr>
      <w:tblGrid>
        <w:gridCol w:w="576"/>
        <w:gridCol w:w="1195"/>
        <w:gridCol w:w="1060"/>
        <w:gridCol w:w="1340"/>
        <w:gridCol w:w="396"/>
        <w:gridCol w:w="978"/>
        <w:gridCol w:w="396"/>
        <w:gridCol w:w="846"/>
        <w:gridCol w:w="327"/>
        <w:gridCol w:w="249"/>
        <w:gridCol w:w="576"/>
        <w:gridCol w:w="1521"/>
      </w:tblGrid>
      <w:tr>
        <w:tblPrEx>
          <w:tblCellMar>
            <w:top w:w="0" w:type="dxa"/>
            <w:left w:w="108" w:type="dxa"/>
            <w:bottom w:w="0" w:type="dxa"/>
            <w:right w:w="108" w:type="dxa"/>
          </w:tblCellMar>
        </w:tblPrEx>
        <w:trPr>
          <w:trHeight w:val="90" w:hRule="atLeast"/>
          <w:jc w:val="center"/>
        </w:trPr>
        <w:tc>
          <w:tcPr>
            <w:tcW w:w="946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90" w:hRule="atLeast"/>
          <w:jc w:val="center"/>
        </w:trPr>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68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51080022R000000267546-工资性支出（事业）</w:t>
            </w:r>
          </w:p>
        </w:tc>
      </w:tr>
      <w:tr>
        <w:tblPrEx>
          <w:tblCellMar>
            <w:top w:w="0" w:type="dxa"/>
            <w:left w:w="108" w:type="dxa"/>
            <w:bottom w:w="0" w:type="dxa"/>
            <w:right w:w="108" w:type="dxa"/>
          </w:tblCellMar>
        </w:tblPrEx>
        <w:trPr>
          <w:trHeight w:val="676" w:hRule="atLeast"/>
          <w:jc w:val="center"/>
        </w:trPr>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1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173" w:type="dxa"/>
            <w:gridSpan w:val="2"/>
            <w:tcBorders>
              <w:top w:val="nil"/>
              <w:left w:val="nil"/>
              <w:bottom w:val="nil"/>
              <w:right w:val="single" w:color="auto"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 xml:space="preserve">实施单位 </w:t>
            </w:r>
          </w:p>
        </w:tc>
        <w:tc>
          <w:tcPr>
            <w:tcW w:w="23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广元市博物馆</w:t>
            </w:r>
          </w:p>
        </w:tc>
      </w:tr>
      <w:tr>
        <w:tblPrEx>
          <w:tblCellMar>
            <w:top w:w="0" w:type="dxa"/>
            <w:left w:w="108" w:type="dxa"/>
            <w:bottom w:w="0" w:type="dxa"/>
            <w:right w:w="108" w:type="dxa"/>
          </w:tblCellMar>
        </w:tblPrEx>
        <w:trPr>
          <w:trHeight w:val="9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1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87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sz w:val="18"/>
                <w:szCs w:val="18"/>
              </w:rPr>
            </w:pPr>
          </w:p>
        </w:tc>
        <w:tc>
          <w:tcPr>
            <w:tcW w:w="41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严格执行相关政策，保障工资及时发放、足额发放，预算编制科学合理，减少结余资金</w:t>
            </w:r>
          </w:p>
        </w:tc>
        <w:tc>
          <w:tcPr>
            <w:tcW w:w="3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严格执行相关政策，保障工资及时发放、足额发放，预算编制科学合理，减少结余资金</w:t>
            </w:r>
          </w:p>
        </w:tc>
      </w:tr>
      <w:tr>
        <w:tblPrEx>
          <w:tblCellMar>
            <w:top w:w="0" w:type="dxa"/>
            <w:left w:w="108" w:type="dxa"/>
            <w:bottom w:w="0" w:type="dxa"/>
            <w:right w:w="108" w:type="dxa"/>
          </w:tblCellMar>
        </w:tblPrEx>
        <w:trPr>
          <w:trHeight w:val="72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68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认真严格执行相关政策，保障工资及时足额发放。</w:t>
            </w:r>
          </w:p>
        </w:tc>
      </w:tr>
      <w:tr>
        <w:tblPrEx>
          <w:tblCellMar>
            <w:top w:w="0" w:type="dxa"/>
            <w:left w:w="108" w:type="dxa"/>
            <w:bottom w:w="0" w:type="dxa"/>
            <w:right w:w="108" w:type="dxa"/>
          </w:tblCellMar>
        </w:tblPrEx>
        <w:trPr>
          <w:trHeight w:val="9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97.44</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139.90</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139.90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黑体" w:hAnsi="黑体" w:eastAsia="黑体" w:cs="黑体"/>
                <w:i/>
                <w:iCs/>
                <w:color w:val="000000"/>
                <w:sz w:val="18"/>
                <w:szCs w:val="18"/>
              </w:rPr>
            </w:pPr>
            <w:r>
              <w:rPr>
                <w:rFonts w:hint="eastAsia" w:ascii="黑体" w:hAnsi="黑体" w:eastAsia="黑体" w:cs="黑体"/>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97.44</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139.90</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139.90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1183"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1073"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足额保障率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科目调整次数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9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按时发放率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86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经济效益指标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结余率（计算方法为：结余数/预算数）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90" w:hRule="atLeast"/>
          <w:jc w:val="center"/>
        </w:trPr>
        <w:tc>
          <w:tcPr>
            <w:tcW w:w="67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88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结合自评情况，说明项目自评总分98分，按时发放职工工资并交纳五险一金。         </w:t>
            </w:r>
          </w:p>
        </w:tc>
      </w:tr>
      <w:tr>
        <w:tblPrEx>
          <w:tblCellMar>
            <w:top w:w="0" w:type="dxa"/>
            <w:left w:w="108" w:type="dxa"/>
            <w:bottom w:w="0" w:type="dxa"/>
            <w:right w:w="108" w:type="dxa"/>
          </w:tblCellMar>
        </w:tblPrEx>
        <w:trPr>
          <w:trHeight w:val="9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88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9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88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552" w:hRule="atLeast"/>
          <w:jc w:val="center"/>
        </w:trPr>
        <w:tc>
          <w:tcPr>
            <w:tcW w:w="45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项目负责人：王洪燕</w:t>
            </w:r>
          </w:p>
        </w:tc>
        <w:tc>
          <w:tcPr>
            <w:tcW w:w="48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财务负责人：张继钢</w:t>
            </w:r>
          </w:p>
        </w:tc>
      </w:tr>
    </w:tbl>
    <w:p>
      <w:pPr>
        <w:pStyle w:val="2"/>
        <w:spacing w:before="93"/>
        <w:rPr>
          <w:rFonts w:ascii="黑体" w:hAnsi="黑体" w:eastAsia="黑体" w:cs="黑体"/>
          <w:sz w:val="32"/>
          <w:szCs w:val="32"/>
        </w:rPr>
      </w:pPr>
      <w:r>
        <w:rPr>
          <w:rFonts w:hint="eastAsia" w:ascii="黑体" w:hAnsi="黑体" w:eastAsia="黑体" w:cs="黑体"/>
          <w:sz w:val="32"/>
          <w:szCs w:val="32"/>
        </w:rPr>
        <w:t>附件4</w:t>
      </w:r>
    </w:p>
    <w:tbl>
      <w:tblPr>
        <w:tblStyle w:val="12"/>
        <w:tblW w:w="9280" w:type="dxa"/>
        <w:jc w:val="center"/>
        <w:tblLayout w:type="autofit"/>
        <w:tblCellMar>
          <w:top w:w="0" w:type="dxa"/>
          <w:left w:w="108" w:type="dxa"/>
          <w:bottom w:w="0" w:type="dxa"/>
          <w:right w:w="108" w:type="dxa"/>
        </w:tblCellMar>
      </w:tblPr>
      <w:tblGrid>
        <w:gridCol w:w="576"/>
        <w:gridCol w:w="1133"/>
        <w:gridCol w:w="1017"/>
        <w:gridCol w:w="1391"/>
        <w:gridCol w:w="396"/>
        <w:gridCol w:w="929"/>
        <w:gridCol w:w="396"/>
        <w:gridCol w:w="846"/>
        <w:gridCol w:w="576"/>
        <w:gridCol w:w="576"/>
        <w:gridCol w:w="1444"/>
      </w:tblGrid>
      <w:tr>
        <w:tblPrEx>
          <w:tblCellMar>
            <w:top w:w="0" w:type="dxa"/>
            <w:left w:w="108" w:type="dxa"/>
            <w:bottom w:w="0" w:type="dxa"/>
            <w:right w:w="108" w:type="dxa"/>
          </w:tblCellMar>
        </w:tblPrEx>
        <w:trPr>
          <w:trHeight w:val="530" w:hRule="atLeast"/>
          <w:jc w:val="center"/>
        </w:trPr>
        <w:tc>
          <w:tcPr>
            <w:tcW w:w="928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54" w:hRule="atLeast"/>
          <w:jc w:val="center"/>
        </w:trPr>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5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51080022Y000000267568-定额公用经费（事业）</w:t>
            </w:r>
          </w:p>
        </w:tc>
      </w:tr>
      <w:tr>
        <w:tblPrEx>
          <w:tblCellMar>
            <w:top w:w="0" w:type="dxa"/>
            <w:left w:w="108" w:type="dxa"/>
            <w:bottom w:w="0" w:type="dxa"/>
            <w:right w:w="108" w:type="dxa"/>
          </w:tblCellMar>
        </w:tblPrEx>
        <w:trPr>
          <w:trHeight w:val="747" w:hRule="atLeast"/>
          <w:jc w:val="center"/>
        </w:trPr>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1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789" w:type="dxa"/>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 xml:space="preserve">实施单位 </w:t>
            </w:r>
          </w:p>
        </w:tc>
        <w:tc>
          <w:tcPr>
            <w:tcW w:w="2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广元市博物馆</w:t>
            </w:r>
          </w:p>
        </w:tc>
      </w:tr>
      <w:tr>
        <w:tblPrEx>
          <w:tblCellMar>
            <w:top w:w="0" w:type="dxa"/>
            <w:left w:w="108" w:type="dxa"/>
            <w:bottom w:w="0" w:type="dxa"/>
            <w:right w:w="108" w:type="dxa"/>
          </w:tblCellMar>
        </w:tblPrEx>
        <w:trPr>
          <w:trHeight w:val="254"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1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3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50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1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保障单位日常运转，提高预算编制质量，严格执行预算</w:t>
            </w:r>
          </w:p>
        </w:tc>
        <w:tc>
          <w:tcPr>
            <w:tcW w:w="33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747"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5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501"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254"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15.60</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15.37</w:t>
            </w:r>
          </w:p>
        </w:tc>
        <w:tc>
          <w:tcPr>
            <w:tcW w:w="1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15.37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50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15.60</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15.37</w:t>
            </w:r>
          </w:p>
        </w:tc>
        <w:tc>
          <w:tcPr>
            <w:tcW w:w="1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15.37</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50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54"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1453"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993"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254"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科目调整次数</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21.5</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993"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质量指标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预算编制准确率（计算方法为：∣（执行数-预算数）/预算数∣）</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4</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21.5</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1485"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经济效益指标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“三公经费”控制率[计算方法为：（三公经费实际支出数/预算安排数]×100%）</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4"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运转保障率</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4" w:hRule="atLeast"/>
          <w:jc w:val="center"/>
        </w:trPr>
        <w:tc>
          <w:tcPr>
            <w:tcW w:w="67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98</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501"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74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结合自评情况，说明项目自评总分98分，保障单位日常运转，提高预算编制质量，严格执行预算         </w:t>
            </w:r>
          </w:p>
        </w:tc>
      </w:tr>
      <w:tr>
        <w:tblPrEx>
          <w:tblCellMar>
            <w:top w:w="0" w:type="dxa"/>
            <w:left w:w="108" w:type="dxa"/>
            <w:bottom w:w="0" w:type="dxa"/>
            <w:right w:w="108" w:type="dxa"/>
          </w:tblCellMar>
        </w:tblPrEx>
        <w:trPr>
          <w:trHeight w:val="501"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74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501"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74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702" w:hRule="atLeast"/>
          <w:jc w:val="center"/>
        </w:trPr>
        <w:tc>
          <w:tcPr>
            <w:tcW w:w="45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项目负责人：王洪燕</w:t>
            </w:r>
          </w:p>
        </w:tc>
        <w:tc>
          <w:tcPr>
            <w:tcW w:w="47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财务负责人：张继钢</w:t>
            </w:r>
          </w:p>
        </w:tc>
      </w:tr>
    </w:tbl>
    <w:p>
      <w:pPr>
        <w:pStyle w:val="2"/>
        <w:spacing w:before="93"/>
        <w:rPr>
          <w:rFonts w:ascii="黑体" w:hAnsi="黑体" w:eastAsia="黑体" w:cs="黑体"/>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rPr>
          <w:rFonts w:ascii="黑体" w:hAnsi="黑体" w:eastAsia="黑体" w:cs="黑体"/>
          <w:sz w:val="32"/>
          <w:szCs w:val="32"/>
        </w:rPr>
      </w:pPr>
      <w:r>
        <w:rPr>
          <w:rFonts w:hint="eastAsia" w:ascii="黑体" w:hAnsi="黑体" w:eastAsia="黑体" w:cs="黑体"/>
          <w:sz w:val="32"/>
          <w:szCs w:val="32"/>
        </w:rPr>
        <w:t>附件5</w:t>
      </w:r>
    </w:p>
    <w:tbl>
      <w:tblPr>
        <w:tblStyle w:val="12"/>
        <w:tblW w:w="8740" w:type="dxa"/>
        <w:jc w:val="center"/>
        <w:tblLayout w:type="autofit"/>
        <w:tblCellMar>
          <w:top w:w="0" w:type="dxa"/>
          <w:left w:w="108" w:type="dxa"/>
          <w:bottom w:w="0" w:type="dxa"/>
          <w:right w:w="108" w:type="dxa"/>
        </w:tblCellMar>
      </w:tblPr>
      <w:tblGrid>
        <w:gridCol w:w="576"/>
        <w:gridCol w:w="1055"/>
        <w:gridCol w:w="931"/>
        <w:gridCol w:w="1171"/>
        <w:gridCol w:w="396"/>
        <w:gridCol w:w="866"/>
        <w:gridCol w:w="396"/>
        <w:gridCol w:w="846"/>
        <w:gridCol w:w="576"/>
        <w:gridCol w:w="576"/>
        <w:gridCol w:w="1351"/>
      </w:tblGrid>
      <w:tr>
        <w:tblPrEx>
          <w:tblCellMar>
            <w:top w:w="0" w:type="dxa"/>
            <w:left w:w="108" w:type="dxa"/>
            <w:bottom w:w="0" w:type="dxa"/>
            <w:right w:w="108" w:type="dxa"/>
          </w:tblCellMar>
        </w:tblPrEx>
        <w:trPr>
          <w:trHeight w:val="264" w:hRule="atLeast"/>
          <w:jc w:val="center"/>
        </w:trPr>
        <w:tc>
          <w:tcPr>
            <w:tcW w:w="87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112"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09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51080023R000007612345-规范后市级基础绩效奖及生活补助</w:t>
            </w:r>
          </w:p>
        </w:tc>
      </w:tr>
      <w:tr>
        <w:tblPrEx>
          <w:tblCellMar>
            <w:top w:w="0" w:type="dxa"/>
            <w:left w:w="108" w:type="dxa"/>
            <w:bottom w:w="0" w:type="dxa"/>
            <w:right w:w="108" w:type="dxa"/>
          </w:tblCellMar>
        </w:tblPrEx>
        <w:trPr>
          <w:trHeight w:val="330"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38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746" w:type="dxa"/>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 xml:space="preserve">实施单位 </w:t>
            </w:r>
          </w:p>
        </w:tc>
        <w:tc>
          <w:tcPr>
            <w:tcW w:w="24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广元市博物馆</w:t>
            </w:r>
          </w:p>
        </w:tc>
      </w:tr>
      <w:tr>
        <w:tblPrEx>
          <w:tblCellMar>
            <w:top w:w="0" w:type="dxa"/>
            <w:left w:w="108" w:type="dxa"/>
            <w:bottom w:w="0" w:type="dxa"/>
            <w:right w:w="108" w:type="dxa"/>
          </w:tblCellMar>
        </w:tblPrEx>
        <w:trPr>
          <w:trHeight w:val="112" w:hRule="atLeast"/>
          <w:jc w:val="center"/>
        </w:trPr>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38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221"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38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严格执行相关政策，保障工资及时发放、足额发放，预算编制科学合理，减少结余资金</w:t>
            </w:r>
          </w:p>
        </w:tc>
        <w:tc>
          <w:tcPr>
            <w:tcW w:w="3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严格执行相关政策，保障工资及时发放、足额发放，预算编制科学合理，减少结余资金）</w:t>
            </w:r>
          </w:p>
        </w:tc>
      </w:tr>
      <w:tr>
        <w:tblPrEx>
          <w:tblCellMar>
            <w:top w:w="0" w:type="dxa"/>
            <w:left w:w="108" w:type="dxa"/>
            <w:bottom w:w="0" w:type="dxa"/>
            <w:right w:w="108" w:type="dxa"/>
          </w:tblCellMar>
        </w:tblPrEx>
        <w:trPr>
          <w:trHeight w:val="330"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09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严格执行相关政策，保障工资及时发放、足额发放，预算编制科学合理，减少结余资金</w:t>
            </w:r>
          </w:p>
        </w:tc>
      </w:tr>
      <w:tr>
        <w:tblPrEx>
          <w:tblCellMar>
            <w:top w:w="0" w:type="dxa"/>
            <w:left w:w="108" w:type="dxa"/>
            <w:bottom w:w="0" w:type="dxa"/>
            <w:right w:w="108" w:type="dxa"/>
          </w:tblCellMar>
        </w:tblPrEx>
        <w:trPr>
          <w:trHeight w:val="221" w:hRule="atLeast"/>
          <w:jc w:val="center"/>
        </w:trPr>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117"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11.85</w:t>
            </w:r>
          </w:p>
        </w:tc>
        <w:tc>
          <w:tcPr>
            <w:tcW w:w="1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11.85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221"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11.85</w:t>
            </w:r>
          </w:p>
        </w:tc>
        <w:tc>
          <w:tcPr>
            <w:tcW w:w="1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11.85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21"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122"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628"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438" w:hRule="atLeast"/>
          <w:jc w:val="center"/>
        </w:trPr>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136"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足额保障率</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21.5</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36"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科目调整次数</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21.5</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36"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按时发放率</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经济效益指标</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结余率（计算方法为：结余数/预算数）</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112" w:hRule="atLeast"/>
          <w:jc w:val="center"/>
        </w:trPr>
        <w:tc>
          <w:tcPr>
            <w:tcW w:w="628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98</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21"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23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结合自评情况，说明项目自评总分98分，按时发放职工工资并交纳五险一金。         </w:t>
            </w:r>
          </w:p>
        </w:tc>
      </w:tr>
      <w:tr>
        <w:tblPrEx>
          <w:tblCellMar>
            <w:top w:w="0" w:type="dxa"/>
            <w:left w:w="108" w:type="dxa"/>
            <w:bottom w:w="0" w:type="dxa"/>
            <w:right w:w="108" w:type="dxa"/>
          </w:tblCellMar>
        </w:tblPrEx>
        <w:trPr>
          <w:trHeight w:val="221"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23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221"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23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567" w:hRule="atLeast"/>
          <w:jc w:val="center"/>
        </w:trPr>
        <w:tc>
          <w:tcPr>
            <w:tcW w:w="4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项目负责人：王洪燕</w:t>
            </w:r>
          </w:p>
        </w:tc>
        <w:tc>
          <w:tcPr>
            <w:tcW w:w="44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财务负责人：张继钢</w:t>
            </w:r>
          </w:p>
        </w:tc>
      </w:tr>
    </w:tbl>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rPr>
          <w:rFonts w:ascii="黑体" w:hAnsi="黑体" w:eastAsia="黑体" w:cs="黑体"/>
          <w:sz w:val="32"/>
          <w:szCs w:val="32"/>
        </w:rPr>
      </w:pPr>
      <w:r>
        <w:rPr>
          <w:rFonts w:hint="eastAsia" w:ascii="黑体" w:hAnsi="黑体" w:eastAsia="黑体" w:cs="黑体"/>
          <w:sz w:val="32"/>
          <w:szCs w:val="32"/>
        </w:rPr>
        <w:t>附件6</w:t>
      </w:r>
    </w:p>
    <w:p>
      <w:pPr>
        <w:spacing w:line="576" w:lineRule="exact"/>
        <w:ind w:firstLine="640" w:firstLineChars="200"/>
        <w:jc w:val="left"/>
        <w:outlineLvl w:val="0"/>
        <w:rPr>
          <w:rFonts w:ascii="华文仿宋" w:hAnsi="华文仿宋" w:eastAsia="华文仿宋" w:cs="仿宋_GB2312"/>
          <w:sz w:val="32"/>
          <w:szCs w:val="32"/>
        </w:rPr>
      </w:pPr>
    </w:p>
    <w:tbl>
      <w:tblPr>
        <w:tblStyle w:val="12"/>
        <w:tblW w:w="9280" w:type="dxa"/>
        <w:jc w:val="center"/>
        <w:tblLayout w:type="autofit"/>
        <w:tblCellMar>
          <w:top w:w="0" w:type="dxa"/>
          <w:left w:w="108" w:type="dxa"/>
          <w:bottom w:w="0" w:type="dxa"/>
          <w:right w:w="108" w:type="dxa"/>
        </w:tblCellMar>
      </w:tblPr>
      <w:tblGrid>
        <w:gridCol w:w="576"/>
        <w:gridCol w:w="1225"/>
        <w:gridCol w:w="1080"/>
        <w:gridCol w:w="1355"/>
        <w:gridCol w:w="396"/>
        <w:gridCol w:w="1043"/>
        <w:gridCol w:w="396"/>
        <w:gridCol w:w="846"/>
        <w:gridCol w:w="223"/>
        <w:gridCol w:w="263"/>
        <w:gridCol w:w="396"/>
        <w:gridCol w:w="1481"/>
      </w:tblGrid>
      <w:tr>
        <w:tblPrEx>
          <w:tblCellMar>
            <w:top w:w="0" w:type="dxa"/>
            <w:left w:w="108" w:type="dxa"/>
            <w:bottom w:w="0" w:type="dxa"/>
            <w:right w:w="108" w:type="dxa"/>
          </w:tblCellMar>
        </w:tblPrEx>
        <w:trPr>
          <w:trHeight w:val="494" w:hRule="atLeast"/>
          <w:jc w:val="center"/>
        </w:trPr>
        <w:tc>
          <w:tcPr>
            <w:tcW w:w="928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宋体" w:eastAsia="黑体" w:cs="黑体"/>
                <w:b/>
                <w:bCs/>
                <w:color w:val="000000"/>
                <w:sz w:val="30"/>
                <w:szCs w:val="30"/>
              </w:rPr>
            </w:pPr>
            <w:bookmarkStart w:id="72" w:name="_Toc15396618"/>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51" w:hRule="atLeast"/>
          <w:jc w:val="center"/>
        </w:trPr>
        <w:tc>
          <w:tcPr>
            <w:tcW w:w="18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47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51080021T000000050752-免费开放地方配套资金</w:t>
            </w:r>
          </w:p>
        </w:tc>
      </w:tr>
      <w:tr>
        <w:tblPrEx>
          <w:tblCellMar>
            <w:top w:w="0" w:type="dxa"/>
            <w:left w:w="108" w:type="dxa"/>
            <w:bottom w:w="0" w:type="dxa"/>
            <w:right w:w="108" w:type="dxa"/>
          </w:tblCellMar>
        </w:tblPrEx>
        <w:trPr>
          <w:trHeight w:val="737" w:hRule="atLeast"/>
          <w:jc w:val="center"/>
        </w:trPr>
        <w:tc>
          <w:tcPr>
            <w:tcW w:w="18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2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0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 xml:space="preserve">实施单位 </w:t>
            </w:r>
          </w:p>
        </w:tc>
        <w:tc>
          <w:tcPr>
            <w:tcW w:w="2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广元市博物馆</w:t>
            </w:r>
          </w:p>
        </w:tc>
      </w:tr>
      <w:tr>
        <w:tblPrEx>
          <w:tblCellMar>
            <w:top w:w="0" w:type="dxa"/>
            <w:left w:w="108" w:type="dxa"/>
            <w:bottom w:w="0" w:type="dxa"/>
            <w:right w:w="108" w:type="dxa"/>
          </w:tblCellMar>
        </w:tblPrEx>
        <w:trPr>
          <w:trHeight w:val="251" w:hRule="atLeast"/>
          <w:jc w:val="center"/>
        </w:trPr>
        <w:tc>
          <w:tcPr>
            <w:tcW w:w="57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2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270"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209"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122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2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贯彻落实《中华人民共和国文物保护法》《博物馆条例》等法律法规、保障博物馆免费开放工作正常运转。　</w:t>
            </w:r>
          </w:p>
        </w:tc>
        <w:tc>
          <w:tcPr>
            <w:tcW w:w="32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通过项目实施，确保了市博物馆免费开放正常运行，以及安全有序，设施设备完好，环境舒适并正常对外开放。为“弘扬民族文化、博物馆宣传教育”发挥积极作用，公众满意度达到95%。</w:t>
            </w:r>
          </w:p>
        </w:tc>
      </w:tr>
      <w:tr>
        <w:tblPrEx>
          <w:tblCellMar>
            <w:top w:w="0" w:type="dxa"/>
            <w:left w:w="108" w:type="dxa"/>
            <w:bottom w:w="0" w:type="dxa"/>
            <w:right w:w="108" w:type="dxa"/>
          </w:tblCellMar>
        </w:tblPrEx>
        <w:trPr>
          <w:trHeight w:val="73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47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全部用于市博物馆免费开放运行。包括：保障水电供用、设施设备维修、保障消防安全和展品安全落实24小时值班值守、举办公益性讲座，业务培训、网络信息建设、学术交流等。有序推进免费开放工作，提升服务水平。</w:t>
            </w:r>
          </w:p>
        </w:tc>
      </w:tr>
      <w:tr>
        <w:tblPrEx>
          <w:tblCellMar>
            <w:top w:w="0" w:type="dxa"/>
            <w:left w:w="108" w:type="dxa"/>
            <w:bottom w:w="0" w:type="dxa"/>
            <w:right w:w="108" w:type="dxa"/>
          </w:tblCellMar>
        </w:tblPrEx>
        <w:trPr>
          <w:trHeight w:val="494"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14.00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14.00</w:t>
            </w:r>
          </w:p>
        </w:tc>
        <w:tc>
          <w:tcPr>
            <w:tcW w:w="1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14.00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14.00</w:t>
            </w:r>
          </w:p>
        </w:tc>
        <w:tc>
          <w:tcPr>
            <w:tcW w:w="1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98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保障免费开放正常运转</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12</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举办临时展览</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场</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12</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免费开放天数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311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258</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学术讲座</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场</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11</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吸纳志愿者</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人</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39</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参观观众人数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人</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58568</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社会教育活动</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84</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举办安全培训</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个</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11</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基本陈列展览数量</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个</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3</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73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5.18国际博物馆日、非遗宣传日宣传资料</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万份</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4</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质量指标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社教活动参与率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95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藏品安全保障率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各类活动按时完成率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免费开放配套资金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元</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140000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28</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122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社会效益指标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对丰富馆藏、提升展陈能力、普及文博知识、弘扬传统优秀文化影响程度</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优</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文物保护宣传影响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高中低</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高</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49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观众满意度</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95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51" w:hRule="atLeast"/>
          <w:jc w:val="center"/>
        </w:trPr>
        <w:tc>
          <w:tcPr>
            <w:tcW w:w="691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96</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9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7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结合自评情况，项目自评总分96分，严格按照绩效管理办法执行，确保博物馆免费开放工作有序进行，为观众提供优质服务，推动博物馆事业发展，不断满足人民群众对文化的需求，不断传承广元悠久历史文化。          </w:t>
            </w:r>
          </w:p>
        </w:tc>
      </w:tr>
      <w:tr>
        <w:tblPrEx>
          <w:tblCellMar>
            <w:top w:w="0" w:type="dxa"/>
            <w:left w:w="108" w:type="dxa"/>
            <w:bottom w:w="0" w:type="dxa"/>
            <w:right w:w="108" w:type="dxa"/>
          </w:tblCellMar>
        </w:tblPrEx>
        <w:trPr>
          <w:trHeight w:val="49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7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49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7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加强绩效管理，提高绩效管理水平，进一步规范绩效目标编制。一是组织预算绩效管理相关培训，提高人员绩效管理水平。二是对项目绩效目标和指标目标设置的科学性、合理性和规范性。</w:t>
            </w:r>
          </w:p>
        </w:tc>
      </w:tr>
      <w:tr>
        <w:tblPrEx>
          <w:tblCellMar>
            <w:top w:w="0" w:type="dxa"/>
            <w:left w:w="108" w:type="dxa"/>
            <w:bottom w:w="0" w:type="dxa"/>
            <w:right w:w="108" w:type="dxa"/>
          </w:tblCellMar>
        </w:tblPrEx>
        <w:trPr>
          <w:trHeight w:val="597" w:hRule="atLeast"/>
          <w:jc w:val="center"/>
        </w:trPr>
        <w:tc>
          <w:tcPr>
            <w:tcW w:w="46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项目负责人：王洪燕</w:t>
            </w:r>
          </w:p>
        </w:tc>
        <w:tc>
          <w:tcPr>
            <w:tcW w:w="46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财务负责人：张继钢</w:t>
            </w:r>
          </w:p>
        </w:tc>
      </w:tr>
    </w:tbl>
    <w:p>
      <w:pPr>
        <w:spacing w:line="576" w:lineRule="exact"/>
        <w:rPr>
          <w:rFonts w:ascii="华文仿宋" w:hAnsi="华文仿宋" w:eastAsia="华文仿宋"/>
          <w:color w:val="000000"/>
          <w:kern w:val="0"/>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rPr>
          <w:rFonts w:ascii="黑体" w:hAnsi="黑体" w:eastAsia="黑体" w:cs="黑体"/>
          <w:sz w:val="32"/>
          <w:szCs w:val="32"/>
        </w:rPr>
      </w:pPr>
    </w:p>
    <w:p>
      <w:pPr>
        <w:pStyle w:val="2"/>
        <w:spacing w:beforeLines="0" w:line="576" w:lineRule="exact"/>
        <w:rPr>
          <w:rFonts w:ascii="黑体" w:hAnsi="黑体" w:eastAsia="黑体" w:cs="黑体"/>
          <w:sz w:val="32"/>
          <w:szCs w:val="32"/>
        </w:rPr>
      </w:pPr>
    </w:p>
    <w:p>
      <w:pPr>
        <w:pStyle w:val="2"/>
        <w:spacing w:beforeLines="0" w:line="576" w:lineRule="exact"/>
        <w:rPr>
          <w:rFonts w:ascii="黑体" w:hAnsi="黑体" w:eastAsia="黑体" w:cs="黑体"/>
          <w:sz w:val="32"/>
          <w:szCs w:val="32"/>
        </w:rPr>
      </w:pPr>
    </w:p>
    <w:p>
      <w:pPr>
        <w:pStyle w:val="2"/>
        <w:spacing w:beforeLines="0" w:line="576" w:lineRule="exact"/>
        <w:rPr>
          <w:rFonts w:ascii="黑体" w:hAnsi="黑体" w:eastAsia="黑体" w:cs="黑体"/>
          <w:sz w:val="32"/>
          <w:szCs w:val="32"/>
        </w:rPr>
      </w:pPr>
      <w:r>
        <w:rPr>
          <w:rFonts w:hint="eastAsia" w:ascii="黑体" w:hAnsi="黑体" w:eastAsia="黑体" w:cs="黑体"/>
          <w:sz w:val="32"/>
          <w:szCs w:val="32"/>
        </w:rPr>
        <w:t>附件7</w:t>
      </w:r>
    </w:p>
    <w:p>
      <w:pPr>
        <w:pStyle w:val="2"/>
        <w:spacing w:beforeLines="0" w:line="576" w:lineRule="exact"/>
        <w:ind w:firstLine="640" w:firstLineChars="200"/>
        <w:rPr>
          <w:rFonts w:hAnsi="Calibri" w:cs="仿宋"/>
          <w:sz w:val="32"/>
          <w:szCs w:val="32"/>
        </w:rPr>
      </w:pPr>
    </w:p>
    <w:tbl>
      <w:tblPr>
        <w:tblStyle w:val="12"/>
        <w:tblW w:w="9400" w:type="dxa"/>
        <w:jc w:val="center"/>
        <w:tblLayout w:type="autofit"/>
        <w:tblCellMar>
          <w:top w:w="0" w:type="dxa"/>
          <w:left w:w="108" w:type="dxa"/>
          <w:bottom w:w="0" w:type="dxa"/>
          <w:right w:w="108" w:type="dxa"/>
        </w:tblCellMar>
      </w:tblPr>
      <w:tblGrid>
        <w:gridCol w:w="576"/>
        <w:gridCol w:w="1259"/>
        <w:gridCol w:w="1093"/>
        <w:gridCol w:w="1377"/>
        <w:gridCol w:w="396"/>
        <w:gridCol w:w="1052"/>
        <w:gridCol w:w="396"/>
        <w:gridCol w:w="846"/>
        <w:gridCol w:w="237"/>
        <w:gridCol w:w="249"/>
        <w:gridCol w:w="396"/>
        <w:gridCol w:w="1523"/>
      </w:tblGrid>
      <w:tr>
        <w:tblPrEx>
          <w:tblCellMar>
            <w:top w:w="0" w:type="dxa"/>
            <w:left w:w="108" w:type="dxa"/>
            <w:bottom w:w="0" w:type="dxa"/>
            <w:right w:w="108" w:type="dxa"/>
          </w:tblCellMar>
        </w:tblPrEx>
        <w:trPr>
          <w:trHeight w:val="447" w:hRule="atLeast"/>
          <w:jc w:val="center"/>
        </w:trPr>
        <w:tc>
          <w:tcPr>
            <w:tcW w:w="94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27" w:hRule="atLeast"/>
          <w:jc w:val="center"/>
        </w:trPr>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5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51080021T000000050963-运行维护</w:t>
            </w:r>
          </w:p>
        </w:tc>
      </w:tr>
      <w:tr>
        <w:tblPrEx>
          <w:tblCellMar>
            <w:top w:w="0" w:type="dxa"/>
            <w:left w:w="108" w:type="dxa"/>
            <w:bottom w:w="0" w:type="dxa"/>
            <w:right w:w="108" w:type="dxa"/>
          </w:tblCellMar>
        </w:tblPrEx>
        <w:trPr>
          <w:trHeight w:val="666" w:hRule="atLeast"/>
          <w:jc w:val="center"/>
        </w:trPr>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3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083" w:type="dxa"/>
            <w:gridSpan w:val="2"/>
            <w:tcBorders>
              <w:top w:val="nil"/>
              <w:left w:val="nil"/>
              <w:bottom w:val="nil"/>
              <w:right w:val="single" w:color="auto"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 xml:space="preserve">实施单位 </w:t>
            </w:r>
          </w:p>
        </w:tc>
        <w:tc>
          <w:tcPr>
            <w:tcW w:w="2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广元市博物馆</w:t>
            </w:r>
          </w:p>
        </w:tc>
      </w:tr>
      <w:tr>
        <w:tblPrEx>
          <w:tblCellMar>
            <w:top w:w="0" w:type="dxa"/>
            <w:left w:w="108" w:type="dxa"/>
            <w:bottom w:w="0" w:type="dxa"/>
            <w:right w:w="108" w:type="dxa"/>
          </w:tblCellMar>
        </w:tblPrEx>
        <w:trPr>
          <w:trHeight w:val="227"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3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2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137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3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"保障博物馆正常运转，对公众免费开放，为社会发展提供服务。</w:t>
            </w:r>
            <w:r>
              <w:rPr>
                <w:rFonts w:ascii="宋体" w:hAnsi="宋体" w:cs="宋体"/>
                <w:color w:val="000000"/>
                <w:kern w:val="0"/>
                <w:sz w:val="18"/>
                <w:szCs w:val="18"/>
              </w:rPr>
              <w:br w:type="textWrapping"/>
            </w:r>
            <w:r>
              <w:rPr>
                <w:rFonts w:ascii="宋体" w:hAnsi="宋体" w:cs="宋体"/>
                <w:color w:val="000000"/>
                <w:kern w:val="0"/>
                <w:sz w:val="18"/>
                <w:szCs w:val="18"/>
              </w:rPr>
              <w:t>博物馆宣传教育发挥积极作用。</w:t>
            </w:r>
          </w:p>
        </w:tc>
        <w:tc>
          <w:tcPr>
            <w:tcW w:w="32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通过项目实施。保障博物馆正常运转，对公众免费开放，为社会发展提供服务。</w:t>
            </w:r>
          </w:p>
        </w:tc>
      </w:tr>
      <w:tr>
        <w:tblPrEx>
          <w:tblCellMar>
            <w:top w:w="0" w:type="dxa"/>
            <w:left w:w="108" w:type="dxa"/>
            <w:bottom w:w="0" w:type="dxa"/>
            <w:right w:w="108" w:type="dxa"/>
          </w:tblCellMar>
        </w:tblPrEx>
        <w:trPr>
          <w:trHeight w:val="44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5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 xml:space="preserve">全年保障设施设备正常运转，为观众提供良好的参观环境，促进文博事业的繁荣和发展；对弘扬民族文化、对博物馆宣传教育发挥积极作用。受到广大游客一致好评，观众满意度达95%。         </w:t>
            </w:r>
          </w:p>
        </w:tc>
      </w:tr>
      <w:tr>
        <w:tblPrEx>
          <w:tblCellMar>
            <w:top w:w="0" w:type="dxa"/>
            <w:left w:w="108" w:type="dxa"/>
            <w:bottom w:w="0" w:type="dxa"/>
            <w:right w:w="108" w:type="dxa"/>
          </w:tblCellMar>
        </w:tblPrEx>
        <w:trPr>
          <w:trHeight w:val="447"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3.56</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3.56</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3.56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3.56</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3.56</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3.56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44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886"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44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基本陈列展览数量</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个</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3</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免费开放天数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311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258</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质量指标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年度正常开馆率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95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29</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藏品安全保障率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实施时间</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12</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2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项目成本</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35590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元</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35590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66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社会效益指标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保障设施设备正常运转、提供良好环境</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优</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44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观众满意度</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95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27" w:hRule="atLeast"/>
          <w:jc w:val="center"/>
        </w:trPr>
        <w:tc>
          <w:tcPr>
            <w:tcW w:w="69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97</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4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8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结合自评情况，说明项目自评总分97分，运行维护为博物馆的基本开放和基本服务提供了根本保障，为游客提供服务解决了基本的资金需求。在资金的使用上严格按照相关文件要求执行，并确保项目的整体推进和质量要求。          </w:t>
            </w:r>
          </w:p>
        </w:tc>
      </w:tr>
      <w:tr>
        <w:tblPrEx>
          <w:tblCellMar>
            <w:top w:w="0" w:type="dxa"/>
            <w:left w:w="108" w:type="dxa"/>
            <w:bottom w:w="0" w:type="dxa"/>
            <w:right w:w="108" w:type="dxa"/>
          </w:tblCellMar>
        </w:tblPrEx>
        <w:trPr>
          <w:trHeight w:val="44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8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绩效指标设置的精准性、合理性有待进一步改善。          </w:t>
            </w:r>
          </w:p>
        </w:tc>
      </w:tr>
      <w:tr>
        <w:tblPrEx>
          <w:tblCellMar>
            <w:top w:w="0" w:type="dxa"/>
            <w:left w:w="108" w:type="dxa"/>
            <w:bottom w:w="0" w:type="dxa"/>
            <w:right w:w="108" w:type="dxa"/>
          </w:tblCellMar>
        </w:tblPrEx>
        <w:trPr>
          <w:trHeight w:val="44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8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加强预算编制准确性，提高资金使用效率。</w:t>
            </w:r>
          </w:p>
        </w:tc>
      </w:tr>
      <w:tr>
        <w:tblPrEx>
          <w:tblCellMar>
            <w:top w:w="0" w:type="dxa"/>
            <w:left w:w="108" w:type="dxa"/>
            <w:bottom w:w="0" w:type="dxa"/>
            <w:right w:w="108" w:type="dxa"/>
          </w:tblCellMar>
        </w:tblPrEx>
        <w:trPr>
          <w:trHeight w:val="627" w:hRule="atLeast"/>
          <w:jc w:val="center"/>
        </w:trPr>
        <w:tc>
          <w:tcPr>
            <w:tcW w:w="47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项目负责人：王洪燕</w:t>
            </w:r>
          </w:p>
        </w:tc>
        <w:tc>
          <w:tcPr>
            <w:tcW w:w="469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财务负责人：张继钢</w:t>
            </w:r>
          </w:p>
        </w:tc>
      </w:tr>
    </w:tbl>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rPr>
          <w:rFonts w:ascii="黑体" w:hAnsi="黑体" w:eastAsia="黑体" w:cs="黑体"/>
          <w:sz w:val="32"/>
          <w:szCs w:val="32"/>
        </w:rPr>
      </w:pPr>
    </w:p>
    <w:p>
      <w:pPr>
        <w:pStyle w:val="2"/>
        <w:spacing w:beforeLines="0" w:line="576" w:lineRule="exact"/>
        <w:rPr>
          <w:rFonts w:ascii="黑体" w:hAnsi="黑体" w:eastAsia="黑体" w:cs="黑体"/>
          <w:sz w:val="32"/>
          <w:szCs w:val="32"/>
        </w:rPr>
      </w:pPr>
      <w:r>
        <w:rPr>
          <w:rFonts w:hint="eastAsia" w:ascii="黑体" w:hAnsi="黑体" w:eastAsia="黑体" w:cs="黑体"/>
          <w:sz w:val="32"/>
          <w:szCs w:val="32"/>
        </w:rPr>
        <w:t>附件8</w:t>
      </w:r>
    </w:p>
    <w:p>
      <w:pPr>
        <w:pStyle w:val="2"/>
        <w:spacing w:beforeLines="0" w:line="576" w:lineRule="exact"/>
        <w:rPr>
          <w:rFonts w:hAnsi="Calibri" w:cs="仿宋"/>
          <w:sz w:val="32"/>
          <w:szCs w:val="32"/>
        </w:rPr>
      </w:pPr>
    </w:p>
    <w:tbl>
      <w:tblPr>
        <w:tblStyle w:val="12"/>
        <w:tblW w:w="9480" w:type="dxa"/>
        <w:jc w:val="center"/>
        <w:tblLayout w:type="autofit"/>
        <w:tblCellMar>
          <w:top w:w="0" w:type="dxa"/>
          <w:left w:w="108" w:type="dxa"/>
          <w:bottom w:w="0" w:type="dxa"/>
          <w:right w:w="108" w:type="dxa"/>
        </w:tblCellMar>
      </w:tblPr>
      <w:tblGrid>
        <w:gridCol w:w="576"/>
        <w:gridCol w:w="1272"/>
        <w:gridCol w:w="1105"/>
        <w:gridCol w:w="1395"/>
        <w:gridCol w:w="396"/>
        <w:gridCol w:w="1063"/>
        <w:gridCol w:w="396"/>
        <w:gridCol w:w="846"/>
        <w:gridCol w:w="246"/>
        <w:gridCol w:w="240"/>
        <w:gridCol w:w="396"/>
        <w:gridCol w:w="1549"/>
      </w:tblGrid>
      <w:tr>
        <w:tblPrEx>
          <w:tblCellMar>
            <w:top w:w="0" w:type="dxa"/>
            <w:left w:w="108" w:type="dxa"/>
            <w:bottom w:w="0" w:type="dxa"/>
            <w:right w:w="108" w:type="dxa"/>
          </w:tblCellMar>
        </w:tblPrEx>
        <w:trPr>
          <w:trHeight w:val="560" w:hRule="atLeast"/>
          <w:jc w:val="center"/>
        </w:trPr>
        <w:tc>
          <w:tcPr>
            <w:tcW w:w="948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4"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63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51080021T000000050974-临时展览</w:t>
            </w:r>
          </w:p>
        </w:tc>
      </w:tr>
      <w:tr>
        <w:tblPrEx>
          <w:tblCellMar>
            <w:top w:w="0" w:type="dxa"/>
            <w:left w:w="108" w:type="dxa"/>
            <w:bottom w:w="0" w:type="dxa"/>
            <w:right w:w="108" w:type="dxa"/>
          </w:tblCellMar>
        </w:tblPrEx>
        <w:trPr>
          <w:trHeight w:val="71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355" w:type="dxa"/>
            <w:gridSpan w:val="5"/>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092" w:type="dxa"/>
            <w:gridSpan w:val="2"/>
            <w:tcBorders>
              <w:top w:val="nil"/>
              <w:left w:val="nil"/>
              <w:bottom w:val="nil"/>
              <w:right w:val="single" w:color="auto"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 xml:space="preserve">实施单位 </w:t>
            </w:r>
          </w:p>
        </w:tc>
        <w:tc>
          <w:tcPr>
            <w:tcW w:w="21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广元市博物馆</w:t>
            </w:r>
          </w:p>
        </w:tc>
      </w:tr>
      <w:tr>
        <w:tblPrEx>
          <w:tblCellMar>
            <w:top w:w="0" w:type="dxa"/>
            <w:left w:w="108" w:type="dxa"/>
            <w:bottom w:w="0" w:type="dxa"/>
            <w:right w:w="108" w:type="dxa"/>
          </w:tblCellMar>
        </w:tblPrEx>
        <w:trPr>
          <w:trHeight w:val="284"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2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835"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　通过临时展览展览，充分发挥群众文化对不同层次的人们精神的抚慰和激励作用，对社会矛盾的疏导和缓减作成为我们社会的主导意识和精神支柱。</w:t>
            </w:r>
          </w:p>
        </w:tc>
        <w:tc>
          <w:tcPr>
            <w:tcW w:w="32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认真履行公共服务职责，认真策划展览，为“弘扬民族文化、博物馆宣传教育”发挥积极作用。公众满意度达到90%以上。</w:t>
            </w: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72"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632" w:type="dxa"/>
            <w:gridSpan w:val="10"/>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 xml:space="preserve">全部用于市博物馆临时展览正常运行。保障水电供用、设施设备维修、保障消防安全和展品安全24小时值班值守。         </w:t>
            </w:r>
          </w:p>
        </w:tc>
      </w:tr>
      <w:tr>
        <w:tblPrEx>
          <w:tblCellMar>
            <w:top w:w="0" w:type="dxa"/>
            <w:left w:w="108" w:type="dxa"/>
            <w:bottom w:w="0" w:type="dxa"/>
            <w:right w:w="108" w:type="dxa"/>
          </w:tblCellMar>
        </w:tblPrEx>
        <w:trPr>
          <w:trHeight w:val="56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3.00</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3.00</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111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展厅管理寄到讲服务</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展览天数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180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媒体网络报到次数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3</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参观人数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人数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18000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临时展览</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场</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4</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29</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29</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质量指标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 xml:space="preserve">   藏品安全保障率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临时展览正常开馆率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95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完成时间</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临时展览经费</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3</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835"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普及文博知识，弘扬优秀传统文化</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优</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文物保护宣传影响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优</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56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观众满意度</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95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284" w:hRule="atLeast"/>
          <w:jc w:val="center"/>
        </w:trPr>
        <w:tc>
          <w:tcPr>
            <w:tcW w:w="70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97</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83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9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结合自评情况，说明项目自评总分97分，博物馆是为群众提供高质量公益文化服务场所，本馆举办形式丰富的临时展览服务充分发挥社会主义精神文明建设中的作用，高扬时代主旋律，满足群众的精神文化需求，增加本馆吸引力，实现博物馆教育职能，提高社会效益和教育功能。          </w:t>
            </w:r>
          </w:p>
        </w:tc>
      </w:tr>
      <w:tr>
        <w:tblPrEx>
          <w:tblCellMar>
            <w:top w:w="0" w:type="dxa"/>
            <w:left w:w="108" w:type="dxa"/>
            <w:bottom w:w="0" w:type="dxa"/>
            <w:right w:w="108" w:type="dxa"/>
          </w:tblCellMar>
        </w:tblPrEx>
        <w:trPr>
          <w:trHeight w:val="56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9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在预算执行过程中，强化绩效监控管理。绩效指标设置的精准性、合理性有待进一步改善。</w:t>
            </w:r>
          </w:p>
        </w:tc>
      </w:tr>
      <w:tr>
        <w:tblPrEx>
          <w:tblCellMar>
            <w:top w:w="0" w:type="dxa"/>
            <w:left w:w="108" w:type="dxa"/>
            <w:bottom w:w="0" w:type="dxa"/>
            <w:right w:w="108" w:type="dxa"/>
          </w:tblCellMar>
        </w:tblPrEx>
        <w:trPr>
          <w:trHeight w:val="56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9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w:t>
            </w:r>
          </w:p>
        </w:tc>
      </w:tr>
      <w:tr>
        <w:tblPrEx>
          <w:tblCellMar>
            <w:top w:w="0" w:type="dxa"/>
            <w:left w:w="108" w:type="dxa"/>
            <w:bottom w:w="0" w:type="dxa"/>
            <w:right w:w="108" w:type="dxa"/>
          </w:tblCellMar>
        </w:tblPrEx>
        <w:trPr>
          <w:trHeight w:val="582" w:hRule="atLeast"/>
          <w:jc w:val="center"/>
        </w:trPr>
        <w:tc>
          <w:tcPr>
            <w:tcW w:w="47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项目负责人：王洪燕</w:t>
            </w:r>
          </w:p>
        </w:tc>
        <w:tc>
          <w:tcPr>
            <w:tcW w:w="4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财务负责人：张继钢</w:t>
            </w:r>
          </w:p>
        </w:tc>
      </w:tr>
    </w:tbl>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ind w:firstLine="640" w:firstLineChars="200"/>
        <w:rPr>
          <w:rFonts w:hAnsi="Calibri" w:cs="仿宋"/>
          <w:sz w:val="32"/>
          <w:szCs w:val="32"/>
        </w:rPr>
      </w:pPr>
    </w:p>
    <w:p>
      <w:pPr>
        <w:pStyle w:val="2"/>
        <w:spacing w:beforeLines="0" w:line="576" w:lineRule="exact"/>
        <w:rPr>
          <w:rFonts w:ascii="黑体" w:hAnsi="黑体" w:eastAsia="黑体" w:cs="黑体"/>
          <w:sz w:val="32"/>
          <w:szCs w:val="32"/>
        </w:rPr>
      </w:pPr>
      <w:r>
        <w:rPr>
          <w:rFonts w:hint="eastAsia" w:ascii="黑体" w:hAnsi="黑体" w:eastAsia="黑体" w:cs="黑体"/>
          <w:sz w:val="32"/>
          <w:szCs w:val="32"/>
        </w:rPr>
        <w:t>附件9</w:t>
      </w:r>
    </w:p>
    <w:p>
      <w:pPr>
        <w:pStyle w:val="2"/>
        <w:spacing w:beforeLines="0" w:line="576" w:lineRule="exact"/>
        <w:rPr>
          <w:rFonts w:ascii="黑体" w:hAnsi="黑体" w:eastAsia="黑体" w:cs="黑体"/>
          <w:sz w:val="32"/>
          <w:szCs w:val="32"/>
        </w:rPr>
      </w:pPr>
    </w:p>
    <w:tbl>
      <w:tblPr>
        <w:tblStyle w:val="12"/>
        <w:tblW w:w="9500" w:type="dxa"/>
        <w:jc w:val="center"/>
        <w:tblLayout w:type="autofit"/>
        <w:tblCellMar>
          <w:top w:w="0" w:type="dxa"/>
          <w:left w:w="108" w:type="dxa"/>
          <w:bottom w:w="0" w:type="dxa"/>
          <w:right w:w="108" w:type="dxa"/>
        </w:tblCellMar>
      </w:tblPr>
      <w:tblGrid>
        <w:gridCol w:w="576"/>
        <w:gridCol w:w="1275"/>
        <w:gridCol w:w="1106"/>
        <w:gridCol w:w="1419"/>
        <w:gridCol w:w="396"/>
        <w:gridCol w:w="1076"/>
        <w:gridCol w:w="396"/>
        <w:gridCol w:w="779"/>
        <w:gridCol w:w="306"/>
        <w:gridCol w:w="180"/>
        <w:gridCol w:w="396"/>
        <w:gridCol w:w="1595"/>
      </w:tblGrid>
      <w:tr>
        <w:tblPrEx>
          <w:tblCellMar>
            <w:top w:w="0" w:type="dxa"/>
            <w:left w:w="108" w:type="dxa"/>
            <w:bottom w:w="0" w:type="dxa"/>
            <w:right w:w="108" w:type="dxa"/>
          </w:tblCellMar>
        </w:tblPrEx>
        <w:trPr>
          <w:trHeight w:val="601" w:hRule="atLeast"/>
          <w:jc w:val="center"/>
        </w:trPr>
        <w:tc>
          <w:tcPr>
            <w:tcW w:w="95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306" w:hRule="atLeast"/>
          <w:jc w:val="center"/>
        </w:trPr>
        <w:tc>
          <w:tcPr>
            <w:tcW w:w="1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64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51080022T000006786643-博物馆免费开放补助资金</w:t>
            </w:r>
          </w:p>
        </w:tc>
      </w:tr>
      <w:tr>
        <w:tblPrEx>
          <w:tblCellMar>
            <w:top w:w="0" w:type="dxa"/>
            <w:left w:w="108" w:type="dxa"/>
            <w:bottom w:w="0" w:type="dxa"/>
            <w:right w:w="108" w:type="dxa"/>
          </w:tblCellMar>
        </w:tblPrEx>
        <w:trPr>
          <w:trHeight w:val="727" w:hRule="atLeast"/>
          <w:jc w:val="center"/>
        </w:trPr>
        <w:tc>
          <w:tcPr>
            <w:tcW w:w="1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广元市文化广播电视和旅游局部门</w:t>
            </w:r>
          </w:p>
        </w:tc>
        <w:tc>
          <w:tcPr>
            <w:tcW w:w="1085" w:type="dxa"/>
            <w:gridSpan w:val="2"/>
            <w:tcBorders>
              <w:top w:val="nil"/>
              <w:left w:val="nil"/>
              <w:bottom w:val="nil"/>
              <w:right w:val="single" w:color="auto"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 xml:space="preserve">实施单位 </w:t>
            </w:r>
          </w:p>
        </w:tc>
        <w:tc>
          <w:tcPr>
            <w:tcW w:w="21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广元市博物馆</w:t>
            </w:r>
          </w:p>
        </w:tc>
      </w:tr>
      <w:tr>
        <w:tblPrEx>
          <w:tblCellMar>
            <w:top w:w="0" w:type="dxa"/>
            <w:left w:w="108" w:type="dxa"/>
            <w:bottom w:w="0" w:type="dxa"/>
            <w:right w:w="108" w:type="dxa"/>
          </w:tblCellMar>
        </w:tblPrEx>
        <w:trPr>
          <w:trHeight w:val="306"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1193"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确保市博物馆免费开放正常运行，以及安全秩序，设施设备完好，环境舒适并对外开放。为“弘扬民族文化、博物馆宣传教育”发挥积极作用</w:t>
            </w:r>
          </w:p>
        </w:tc>
        <w:tc>
          <w:tcPr>
            <w:tcW w:w="3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通过项目实施确保市博物馆免费开放正常运行，以及安全秩序，设施设备完好，环境舒适并对外开放。为“弘扬民族文化、博物馆宣传教育”发挥积极作用。</w:t>
            </w:r>
          </w:p>
        </w:tc>
      </w:tr>
      <w:tr>
        <w:tblPrEx>
          <w:tblCellMar>
            <w:top w:w="0" w:type="dxa"/>
            <w:left w:w="108" w:type="dxa"/>
            <w:bottom w:w="0" w:type="dxa"/>
            <w:right w:w="108" w:type="dxa"/>
          </w:tblCellMar>
        </w:tblPrEx>
        <w:trPr>
          <w:trHeight w:val="89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64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全部用于市博物馆免费开放运行。包括：保障水电供用、设施设备维修、保障消防安全和展品安全落实24小时值班值守、举办公益性讲座，业务培训、网络信息建设、学术交流等。有序推进免费开放工作，提升服务水平。</w:t>
            </w:r>
          </w:p>
        </w:tc>
      </w:tr>
      <w:tr>
        <w:tblPrEx>
          <w:tblCellMar>
            <w:top w:w="0" w:type="dxa"/>
            <w:left w:w="108" w:type="dxa"/>
            <w:bottom w:w="0" w:type="dxa"/>
            <w:right w:w="108" w:type="dxa"/>
          </w:tblCellMar>
        </w:tblPrEx>
        <w:trPr>
          <w:trHeight w:val="601"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48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222.00</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182.55</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82.23%</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我单位劳务派遣服务政府采购合同签订时间期限（2022年7月-2023年6月）根据合同的约定，每月进行劳务费用拨付，2022年7月-12月支付派遣劳务费55.55万元。结余39.45万元未到付款时间2023年才能支付。</w:t>
            </w: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222.00</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182.55</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82.23%</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8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74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 w:val="18"/>
                <w:szCs w:val="18"/>
              </w:rPr>
            </w:pPr>
          </w:p>
        </w:tc>
      </w:tr>
      <w:tr>
        <w:tblPrEx>
          <w:tblCellMar>
            <w:top w:w="0" w:type="dxa"/>
            <w:left w:w="108" w:type="dxa"/>
            <w:bottom w:w="0" w:type="dxa"/>
            <w:right w:w="108" w:type="dxa"/>
          </w:tblCellMar>
        </w:tblPrEx>
        <w:trPr>
          <w:trHeight w:val="1193"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保障免费开放正常运转</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月</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12</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举办临时展览</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场</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12</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免费开放天数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311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天</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258</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学术讲座</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场</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11</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吸纳志愿者</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人</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39</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参观观众人数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人</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58568</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社会教育活动</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84</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举办安全培训</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个</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11</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基本陈列展览数量</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个</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3</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9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5.18国际博物馆日、非遗宣传日宣传资料</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万份</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4</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质量指标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社教活动参与率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95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藏品安全保障率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各类活动按时完成率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免费开放配套资金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元</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140000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28</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9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社会效益指标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普及文博知识，弘扬优秀传统文化</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优</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文物保护宣传影响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优</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观众满意度</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95</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r>
      <w:tr>
        <w:tblPrEx>
          <w:tblCellMar>
            <w:top w:w="0" w:type="dxa"/>
            <w:left w:w="108" w:type="dxa"/>
            <w:bottom w:w="0" w:type="dxa"/>
            <w:right w:w="108" w:type="dxa"/>
          </w:tblCellMar>
        </w:tblPrEx>
        <w:trPr>
          <w:trHeight w:val="306" w:hRule="atLeast"/>
          <w:jc w:val="center"/>
        </w:trPr>
        <w:tc>
          <w:tcPr>
            <w:tcW w:w="70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96</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9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结合自评情况，项目自评总分96分，严格按照绩效管理办法执行，确保博物馆免费开放工作有序进行，为观众提供优质服务，推动博物馆事业发展，不断满足人民群众对文化的需求，不断传承广元悠久历史文化。          </w:t>
            </w:r>
          </w:p>
        </w:tc>
      </w:tr>
      <w:tr>
        <w:tblPrEx>
          <w:tblCellMar>
            <w:top w:w="0" w:type="dxa"/>
            <w:left w:w="108" w:type="dxa"/>
            <w:bottom w:w="0" w:type="dxa"/>
            <w:right w:w="108" w:type="dxa"/>
          </w:tblCellMar>
        </w:tblPrEx>
        <w:trPr>
          <w:trHeight w:val="6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9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 xml:space="preserve">在预算执行过程中，强化绩效监控管理。绩效指标设置的精准性、合理性有待进一步改善。          </w:t>
            </w:r>
          </w:p>
        </w:tc>
      </w:tr>
      <w:tr>
        <w:tblPrEx>
          <w:tblCellMar>
            <w:top w:w="0" w:type="dxa"/>
            <w:left w:w="108" w:type="dxa"/>
            <w:bottom w:w="0" w:type="dxa"/>
            <w:right w:w="108" w:type="dxa"/>
          </w:tblCellMar>
        </w:tblPrEx>
        <w:trPr>
          <w:trHeight w:val="60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9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加强绩效管理，提高绩效管理水平，进一步规范绩效目标编制。一是组织预算绩效管理相关培训，提高人员绩效管理水平。二是对项目绩效目标和指标目标设置的科学性、合理性和规范性。</w:t>
            </w:r>
          </w:p>
        </w:tc>
      </w:tr>
      <w:tr>
        <w:tblPrEx>
          <w:tblCellMar>
            <w:top w:w="0" w:type="dxa"/>
            <w:left w:w="108" w:type="dxa"/>
            <w:bottom w:w="0" w:type="dxa"/>
            <w:right w:w="108" w:type="dxa"/>
          </w:tblCellMar>
        </w:tblPrEx>
        <w:trPr>
          <w:trHeight w:val="600" w:hRule="atLeast"/>
          <w:jc w:val="center"/>
        </w:trPr>
        <w:tc>
          <w:tcPr>
            <w:tcW w:w="47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项目负责人：王洪燕</w:t>
            </w:r>
          </w:p>
        </w:tc>
        <w:tc>
          <w:tcPr>
            <w:tcW w:w="47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财务负责人：张继钢</w:t>
            </w:r>
          </w:p>
        </w:tc>
      </w:tr>
    </w:tbl>
    <w:p>
      <w:pPr>
        <w:pStyle w:val="2"/>
        <w:spacing w:beforeLines="0" w:line="576" w:lineRule="exact"/>
        <w:rPr>
          <w:rFonts w:ascii="黑体" w:hAnsi="黑体" w:eastAsia="黑体" w:cs="黑体"/>
          <w:sz w:val="32"/>
          <w:szCs w:val="32"/>
        </w:rPr>
      </w:pPr>
    </w:p>
    <w:p>
      <w:pPr>
        <w:spacing w:line="576" w:lineRule="exact"/>
        <w:ind w:firstLine="880" w:firstLineChars="200"/>
        <w:jc w:val="center"/>
        <w:outlineLvl w:val="0"/>
        <w:rPr>
          <w:rFonts w:ascii="黑体" w:hAnsi="黑体" w:eastAsia="黑体"/>
          <w:sz w:val="44"/>
          <w:szCs w:val="44"/>
        </w:rPr>
      </w:pPr>
    </w:p>
    <w:p>
      <w:pPr>
        <w:spacing w:line="576" w:lineRule="exact"/>
        <w:ind w:firstLine="880" w:firstLineChars="200"/>
        <w:jc w:val="center"/>
        <w:outlineLvl w:val="0"/>
        <w:rPr>
          <w:rFonts w:ascii="黑体" w:hAnsi="黑体" w:eastAsia="黑体"/>
          <w:sz w:val="44"/>
          <w:szCs w:val="44"/>
        </w:rPr>
      </w:pPr>
    </w:p>
    <w:p>
      <w:pPr>
        <w:spacing w:line="576" w:lineRule="exact"/>
        <w:outlineLvl w:val="0"/>
        <w:rPr>
          <w:rFonts w:ascii="黑体" w:hAnsi="黑体" w:eastAsia="黑体"/>
          <w:sz w:val="44"/>
          <w:szCs w:val="44"/>
        </w:rPr>
      </w:pPr>
    </w:p>
    <w:p>
      <w:pPr>
        <w:spacing w:line="576" w:lineRule="exact"/>
        <w:jc w:val="center"/>
        <w:outlineLvl w:val="0"/>
        <w:rPr>
          <w:rFonts w:asciiTheme="majorEastAsia" w:hAnsiTheme="majorEastAsia" w:eastAsiaTheme="majorEastAsia" w:cstheme="majorEastAsia"/>
          <w:b/>
          <w:bCs/>
          <w:sz w:val="44"/>
          <w:szCs w:val="44"/>
        </w:rPr>
      </w:pPr>
    </w:p>
    <w:p>
      <w:pPr>
        <w:spacing w:line="576" w:lineRule="exact"/>
        <w:jc w:val="center"/>
        <w:outlineLvl w:val="0"/>
        <w:rPr>
          <w:rFonts w:asciiTheme="majorEastAsia" w:hAnsiTheme="majorEastAsia" w:eastAsiaTheme="majorEastAsia" w:cstheme="majorEastAsia"/>
          <w:b/>
          <w:bCs/>
          <w:sz w:val="44"/>
          <w:szCs w:val="44"/>
        </w:rPr>
      </w:pPr>
    </w:p>
    <w:p>
      <w:pPr>
        <w:spacing w:line="576" w:lineRule="exact"/>
        <w:jc w:val="center"/>
        <w:outlineLvl w:val="0"/>
        <w:rPr>
          <w:rFonts w:asciiTheme="majorEastAsia" w:hAnsiTheme="majorEastAsia" w:eastAsiaTheme="majorEastAsia" w:cstheme="majorEastAsia"/>
          <w:b/>
          <w:bCs/>
          <w:sz w:val="44"/>
          <w:szCs w:val="44"/>
        </w:rPr>
      </w:pPr>
    </w:p>
    <w:p>
      <w:pPr>
        <w:spacing w:line="576" w:lineRule="exact"/>
        <w:jc w:val="center"/>
        <w:outlineLvl w:val="0"/>
        <w:rPr>
          <w:rFonts w:asciiTheme="majorEastAsia" w:hAnsiTheme="majorEastAsia" w:eastAsiaTheme="majorEastAsia" w:cstheme="majorEastAsia"/>
          <w:b/>
          <w:bCs/>
          <w:sz w:val="44"/>
          <w:szCs w:val="44"/>
        </w:rPr>
      </w:pPr>
      <w:bookmarkStart w:id="73" w:name="_Toc9251"/>
      <w:r>
        <w:rPr>
          <w:rFonts w:hint="eastAsia" w:asciiTheme="majorEastAsia" w:hAnsiTheme="majorEastAsia" w:eastAsiaTheme="majorEastAsia" w:cstheme="majorEastAsia"/>
          <w:b/>
          <w:bCs/>
          <w:sz w:val="44"/>
          <w:szCs w:val="44"/>
        </w:rPr>
        <w:t>第</w:t>
      </w:r>
      <w:r>
        <w:rPr>
          <w:rStyle w:val="24"/>
          <w:rFonts w:hint="eastAsia" w:asciiTheme="majorEastAsia" w:hAnsiTheme="majorEastAsia" w:eastAsiaTheme="majorEastAsia" w:cstheme="majorEastAsia"/>
        </w:rPr>
        <w:t>五部分 附表</w:t>
      </w:r>
      <w:bookmarkEnd w:id="69"/>
      <w:bookmarkEnd w:id="72"/>
      <w:bookmarkEnd w:id="73"/>
      <w:bookmarkStart w:id="74" w:name="_Toc15396619"/>
    </w:p>
    <w:p>
      <w:pPr>
        <w:pStyle w:val="4"/>
        <w:spacing w:before="0" w:after="0" w:line="576" w:lineRule="exact"/>
        <w:ind w:firstLine="640" w:firstLineChars="200"/>
        <w:rPr>
          <w:rFonts w:ascii="仿宋" w:hAnsi="仿宋" w:eastAsia="仿宋"/>
          <w:b w:val="0"/>
        </w:rPr>
      </w:pPr>
    </w:p>
    <w:p>
      <w:pPr>
        <w:pStyle w:val="4"/>
        <w:spacing w:before="0" w:after="0" w:line="576" w:lineRule="exact"/>
        <w:ind w:firstLine="640" w:firstLineChars="200"/>
        <w:rPr>
          <w:rFonts w:ascii="仿宋" w:hAnsi="仿宋" w:eastAsia="仿宋"/>
        </w:rPr>
      </w:pPr>
      <w:bookmarkStart w:id="75" w:name="_Toc9862"/>
      <w:r>
        <w:rPr>
          <w:rFonts w:hint="eastAsia" w:ascii="黑体" w:hAnsi="黑体" w:eastAsia="黑体" w:cs="黑体"/>
          <w:b w:val="0"/>
        </w:rPr>
        <w:t>一、</w:t>
      </w:r>
      <w:r>
        <w:rPr>
          <w:rFonts w:hint="eastAsia" w:ascii="仿宋" w:hAnsi="仿宋" w:eastAsia="仿宋"/>
          <w:b w:val="0"/>
        </w:rPr>
        <w:t>收</w:t>
      </w:r>
      <w:r>
        <w:rPr>
          <w:rStyle w:val="25"/>
          <w:rFonts w:hint="eastAsia" w:ascii="仿宋" w:hAnsi="仿宋" w:eastAsia="仿宋"/>
          <w:b w:val="0"/>
          <w:bCs w:val="0"/>
        </w:rPr>
        <w:t>入支出决算总表</w:t>
      </w:r>
      <w:bookmarkEnd w:id="74"/>
      <w:bookmarkEnd w:id="75"/>
    </w:p>
    <w:p>
      <w:pPr>
        <w:pStyle w:val="4"/>
        <w:spacing w:before="0" w:after="0" w:line="576" w:lineRule="exact"/>
        <w:ind w:firstLine="640" w:firstLineChars="200"/>
        <w:rPr>
          <w:rStyle w:val="25"/>
          <w:rFonts w:ascii="仿宋" w:hAnsi="仿宋" w:eastAsia="仿宋"/>
          <w:b w:val="0"/>
          <w:bCs w:val="0"/>
        </w:rPr>
      </w:pPr>
      <w:bookmarkStart w:id="76" w:name="_Toc15396620"/>
      <w:bookmarkStart w:id="77" w:name="_Toc18226"/>
      <w:r>
        <w:rPr>
          <w:rFonts w:hint="eastAsia" w:ascii="黑体" w:hAnsi="黑体" w:eastAsia="黑体" w:cs="黑体"/>
          <w:b w:val="0"/>
        </w:rPr>
        <w:t>二、</w:t>
      </w:r>
      <w:r>
        <w:rPr>
          <w:rFonts w:hint="eastAsia" w:ascii="仿宋" w:hAnsi="仿宋" w:eastAsia="仿宋"/>
          <w:b w:val="0"/>
        </w:rPr>
        <w:t>收</w:t>
      </w:r>
      <w:r>
        <w:rPr>
          <w:rStyle w:val="25"/>
          <w:rFonts w:hint="eastAsia" w:ascii="仿宋" w:hAnsi="仿宋" w:eastAsia="仿宋"/>
          <w:b w:val="0"/>
          <w:bCs w:val="0"/>
        </w:rPr>
        <w:t>入决算表</w:t>
      </w:r>
      <w:bookmarkEnd w:id="76"/>
      <w:bookmarkStart w:id="78" w:name="_Toc15396621"/>
      <w:r>
        <w:rPr>
          <w:rStyle w:val="25"/>
          <w:rFonts w:hint="eastAsia" w:ascii="仿宋" w:hAnsi="仿宋" w:eastAsia="仿宋"/>
          <w:b w:val="0"/>
          <w:bCs w:val="0"/>
        </w:rPr>
        <w:t>、</w:t>
      </w:r>
      <w:bookmarkEnd w:id="77"/>
    </w:p>
    <w:p>
      <w:pPr>
        <w:pStyle w:val="4"/>
        <w:spacing w:before="0" w:after="0" w:line="576" w:lineRule="exact"/>
        <w:ind w:firstLine="640" w:firstLineChars="200"/>
        <w:rPr>
          <w:rFonts w:ascii="仿宋" w:hAnsi="仿宋" w:eastAsia="仿宋"/>
        </w:rPr>
      </w:pPr>
      <w:bookmarkStart w:id="79" w:name="_Toc17823"/>
      <w:r>
        <w:rPr>
          <w:rStyle w:val="25"/>
          <w:rFonts w:hint="eastAsia" w:ascii="黑体" w:hAnsi="黑体" w:eastAsia="黑体" w:cs="黑体"/>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78"/>
      <w:bookmarkEnd w:id="79"/>
    </w:p>
    <w:p>
      <w:pPr>
        <w:pStyle w:val="4"/>
        <w:spacing w:before="0" w:after="0" w:line="576" w:lineRule="exact"/>
        <w:ind w:firstLine="640" w:firstLineChars="200"/>
        <w:rPr>
          <w:rFonts w:ascii="仿宋" w:hAnsi="仿宋" w:eastAsia="仿宋"/>
          <w:b w:val="0"/>
        </w:rPr>
      </w:pPr>
      <w:bookmarkStart w:id="80" w:name="_Toc24888"/>
      <w:bookmarkStart w:id="81" w:name="_Toc15396622"/>
      <w:r>
        <w:rPr>
          <w:rStyle w:val="25"/>
          <w:rFonts w:hint="eastAsia" w:ascii="黑体" w:hAnsi="黑体" w:eastAsia="黑体" w:cs="黑体"/>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80"/>
      <w:bookmarkEnd w:id="81"/>
    </w:p>
    <w:p>
      <w:pPr>
        <w:pStyle w:val="4"/>
        <w:spacing w:before="0" w:after="0" w:line="576" w:lineRule="exact"/>
        <w:ind w:firstLine="640" w:firstLineChars="200"/>
        <w:rPr>
          <w:rStyle w:val="25"/>
          <w:rFonts w:ascii="仿宋" w:hAnsi="仿宋" w:eastAsia="仿宋"/>
          <w:b w:val="0"/>
          <w:bCs w:val="0"/>
        </w:rPr>
      </w:pPr>
      <w:bookmarkStart w:id="82" w:name="_Toc24895"/>
      <w:bookmarkStart w:id="83" w:name="_Toc15396623"/>
      <w:r>
        <w:rPr>
          <w:rStyle w:val="25"/>
          <w:rFonts w:hint="eastAsia" w:ascii="黑体" w:hAnsi="黑体" w:eastAsia="黑体" w:cs="黑体"/>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82"/>
      <w:bookmarkEnd w:id="83"/>
      <w:bookmarkStart w:id="84" w:name="_Toc15396624"/>
    </w:p>
    <w:p>
      <w:pPr>
        <w:pStyle w:val="4"/>
        <w:spacing w:before="0" w:after="0" w:line="576" w:lineRule="exact"/>
        <w:ind w:firstLine="640" w:firstLineChars="200"/>
        <w:rPr>
          <w:rFonts w:ascii="仿宋" w:hAnsi="仿宋" w:eastAsia="仿宋"/>
        </w:rPr>
      </w:pPr>
      <w:bookmarkStart w:id="85" w:name="_Toc25187"/>
      <w:r>
        <w:rPr>
          <w:rStyle w:val="25"/>
          <w:rFonts w:hint="eastAsia" w:ascii="黑体" w:hAnsi="黑体" w:eastAsia="黑体" w:cs="黑体"/>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84"/>
      <w:bookmarkEnd w:id="85"/>
    </w:p>
    <w:p>
      <w:pPr>
        <w:pStyle w:val="4"/>
        <w:spacing w:before="0" w:after="0" w:line="576" w:lineRule="exact"/>
        <w:ind w:firstLine="640" w:firstLineChars="200"/>
        <w:rPr>
          <w:rFonts w:ascii="仿宋" w:hAnsi="仿宋" w:eastAsia="仿宋"/>
        </w:rPr>
      </w:pPr>
      <w:bookmarkStart w:id="86" w:name="_Toc15396625"/>
      <w:bookmarkStart w:id="87" w:name="_Toc11838"/>
      <w:r>
        <w:rPr>
          <w:rStyle w:val="25"/>
          <w:rFonts w:hint="eastAsia" w:ascii="黑体" w:hAnsi="黑体" w:eastAsia="黑体" w:cs="黑体"/>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86"/>
      <w:bookmarkEnd w:id="87"/>
    </w:p>
    <w:p>
      <w:pPr>
        <w:pStyle w:val="4"/>
        <w:spacing w:before="0" w:after="0" w:line="576" w:lineRule="exact"/>
        <w:ind w:firstLine="640" w:firstLineChars="200"/>
        <w:rPr>
          <w:rFonts w:ascii="仿宋" w:hAnsi="仿宋" w:eastAsia="仿宋"/>
        </w:rPr>
      </w:pPr>
      <w:bookmarkStart w:id="88" w:name="_Toc15396626"/>
      <w:bookmarkStart w:id="89" w:name="_Toc9220"/>
      <w:r>
        <w:rPr>
          <w:rStyle w:val="25"/>
          <w:rFonts w:hint="eastAsia" w:ascii="黑体" w:hAnsi="黑体" w:eastAsia="黑体" w:cs="黑体"/>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88"/>
      <w:bookmarkEnd w:id="89"/>
    </w:p>
    <w:p>
      <w:pPr>
        <w:pStyle w:val="4"/>
        <w:spacing w:before="0" w:after="0" w:line="576" w:lineRule="exact"/>
        <w:ind w:firstLine="640" w:firstLineChars="200"/>
        <w:rPr>
          <w:rFonts w:ascii="仿宋" w:hAnsi="仿宋" w:eastAsia="仿宋"/>
        </w:rPr>
      </w:pPr>
      <w:bookmarkStart w:id="90" w:name="_Toc8475"/>
      <w:bookmarkStart w:id="91" w:name="_Toc15396627"/>
      <w:r>
        <w:rPr>
          <w:rStyle w:val="25"/>
          <w:rFonts w:hint="eastAsia" w:ascii="黑体" w:hAnsi="黑体" w:eastAsia="黑体" w:cs="黑体"/>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90"/>
      <w:bookmarkEnd w:id="91"/>
    </w:p>
    <w:p>
      <w:pPr>
        <w:pStyle w:val="4"/>
        <w:spacing w:before="0" w:after="0" w:line="576" w:lineRule="exact"/>
        <w:ind w:firstLine="640" w:firstLineChars="200"/>
        <w:rPr>
          <w:rFonts w:ascii="仿宋" w:hAnsi="仿宋" w:eastAsia="仿宋"/>
        </w:rPr>
      </w:pPr>
      <w:bookmarkStart w:id="92" w:name="_Toc15396628"/>
      <w:bookmarkStart w:id="93" w:name="_Toc3917"/>
      <w:r>
        <w:rPr>
          <w:rStyle w:val="25"/>
          <w:rFonts w:hint="eastAsia" w:ascii="黑体" w:hAnsi="黑体" w:eastAsia="黑体" w:cs="黑体"/>
          <w:b w:val="0"/>
          <w:bCs w:val="0"/>
        </w:rPr>
        <w:t>十、</w:t>
      </w:r>
      <w:bookmarkEnd w:id="92"/>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93"/>
    </w:p>
    <w:p>
      <w:pPr>
        <w:pStyle w:val="4"/>
        <w:spacing w:before="0" w:after="0" w:line="576" w:lineRule="exact"/>
        <w:ind w:firstLine="640" w:firstLineChars="200"/>
        <w:rPr>
          <w:rFonts w:ascii="仿宋" w:hAnsi="仿宋" w:eastAsia="仿宋"/>
        </w:rPr>
      </w:pPr>
      <w:bookmarkStart w:id="94" w:name="_Toc15396629"/>
      <w:bookmarkStart w:id="95" w:name="_Toc21060"/>
      <w:r>
        <w:rPr>
          <w:rStyle w:val="25"/>
          <w:rFonts w:hint="eastAsia" w:ascii="黑体" w:hAnsi="黑体" w:eastAsia="黑体" w:cs="黑体"/>
          <w:b w:val="0"/>
          <w:bCs w:val="0"/>
        </w:rPr>
        <w:t>十一、</w:t>
      </w:r>
      <w:bookmarkEnd w:id="94"/>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95"/>
    </w:p>
    <w:p>
      <w:pPr>
        <w:pStyle w:val="4"/>
        <w:spacing w:before="0" w:after="0" w:line="576" w:lineRule="exact"/>
        <w:ind w:firstLine="640" w:firstLineChars="200"/>
        <w:rPr>
          <w:rFonts w:ascii="仿宋" w:hAnsi="仿宋" w:eastAsia="仿宋"/>
        </w:rPr>
      </w:pPr>
      <w:bookmarkStart w:id="96" w:name="_Toc15396630"/>
      <w:bookmarkStart w:id="97" w:name="_Toc26347"/>
      <w:r>
        <w:rPr>
          <w:rStyle w:val="25"/>
          <w:rFonts w:hint="eastAsia" w:ascii="黑体" w:hAnsi="黑体" w:eastAsia="黑体" w:cs="黑体"/>
          <w:b w:val="0"/>
          <w:bCs w:val="0"/>
        </w:rPr>
        <w:t>十二、</w:t>
      </w:r>
      <w:bookmarkEnd w:id="96"/>
      <w:r>
        <w:rPr>
          <w:rStyle w:val="25"/>
          <w:rFonts w:hint="eastAsia" w:ascii="仿宋" w:hAnsi="仿宋" w:eastAsia="仿宋"/>
          <w:b w:val="0"/>
          <w:bCs w:val="0"/>
        </w:rPr>
        <w:t>国有资本经营预算财政拨款支出决算表</w:t>
      </w:r>
      <w:bookmarkEnd w:id="97"/>
    </w:p>
    <w:p>
      <w:pPr>
        <w:pStyle w:val="4"/>
        <w:spacing w:before="0" w:after="0" w:line="576" w:lineRule="exact"/>
        <w:ind w:firstLine="640" w:firstLineChars="200"/>
        <w:rPr>
          <w:rFonts w:eastAsia="仿宋"/>
        </w:rPr>
      </w:pPr>
      <w:bookmarkStart w:id="98" w:name="_Toc15396631"/>
      <w:bookmarkStart w:id="99" w:name="_Toc15809"/>
      <w:r>
        <w:rPr>
          <w:rStyle w:val="25"/>
          <w:rFonts w:hint="eastAsia" w:ascii="黑体" w:hAnsi="黑体" w:eastAsia="黑体" w:cs="黑体"/>
          <w:b w:val="0"/>
          <w:bCs w:val="0"/>
        </w:rPr>
        <w:t>十三、</w:t>
      </w:r>
      <w:bookmarkEnd w:id="98"/>
      <w:r>
        <w:rPr>
          <w:rStyle w:val="25"/>
          <w:rFonts w:hint="eastAsia" w:ascii="仿宋" w:hAnsi="仿宋" w:eastAsia="仿宋"/>
          <w:b w:val="0"/>
          <w:bCs w:val="0"/>
        </w:rPr>
        <w:t>财政拨款“三公”经费支出决算表</w:t>
      </w:r>
      <w:bookmarkEnd w:id="99"/>
    </w:p>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83" o:spid="_x0000_s3083"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84" o:spid="_x0000_s3084"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8"/>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18A09A"/>
    <w:multiLevelType w:val="singleLevel"/>
    <w:tmpl w:val="3818A0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U1ZTQ4NmIxM2U1NTI3ZDU4OWRlMmQyZTE3MWVjMWMifQ=="/>
  </w:docVars>
  <w:rsids>
    <w:rsidRoot w:val="00F1361C"/>
    <w:rsid w:val="000222C6"/>
    <w:rsid w:val="0002549F"/>
    <w:rsid w:val="0003529B"/>
    <w:rsid w:val="000468DB"/>
    <w:rsid w:val="000506F6"/>
    <w:rsid w:val="0006487A"/>
    <w:rsid w:val="00065F8F"/>
    <w:rsid w:val="00070A43"/>
    <w:rsid w:val="000768F2"/>
    <w:rsid w:val="000837B5"/>
    <w:rsid w:val="0008481F"/>
    <w:rsid w:val="0009184B"/>
    <w:rsid w:val="00094236"/>
    <w:rsid w:val="0009545A"/>
    <w:rsid w:val="0009593C"/>
    <w:rsid w:val="00097322"/>
    <w:rsid w:val="000A6A92"/>
    <w:rsid w:val="000B047F"/>
    <w:rsid w:val="000B5923"/>
    <w:rsid w:val="000B5A48"/>
    <w:rsid w:val="000B6FF3"/>
    <w:rsid w:val="000C3467"/>
    <w:rsid w:val="000C3CA6"/>
    <w:rsid w:val="000D1267"/>
    <w:rsid w:val="000D1D50"/>
    <w:rsid w:val="000D20E0"/>
    <w:rsid w:val="000D5782"/>
    <w:rsid w:val="000E4387"/>
    <w:rsid w:val="000E6613"/>
    <w:rsid w:val="000E7119"/>
    <w:rsid w:val="00114E9B"/>
    <w:rsid w:val="001309AD"/>
    <w:rsid w:val="00142216"/>
    <w:rsid w:val="00144D6A"/>
    <w:rsid w:val="0014729F"/>
    <w:rsid w:val="00157BAB"/>
    <w:rsid w:val="001654D1"/>
    <w:rsid w:val="00171BB0"/>
    <w:rsid w:val="00174518"/>
    <w:rsid w:val="001805DE"/>
    <w:rsid w:val="0018106D"/>
    <w:rsid w:val="001877A7"/>
    <w:rsid w:val="0019076E"/>
    <w:rsid w:val="00191187"/>
    <w:rsid w:val="00191536"/>
    <w:rsid w:val="00196687"/>
    <w:rsid w:val="001A0E84"/>
    <w:rsid w:val="001C0962"/>
    <w:rsid w:val="001D7531"/>
    <w:rsid w:val="001E737D"/>
    <w:rsid w:val="001F0592"/>
    <w:rsid w:val="001F7506"/>
    <w:rsid w:val="002006CD"/>
    <w:rsid w:val="00202B36"/>
    <w:rsid w:val="00204B7A"/>
    <w:rsid w:val="00204CDE"/>
    <w:rsid w:val="0021101A"/>
    <w:rsid w:val="00220536"/>
    <w:rsid w:val="0022107B"/>
    <w:rsid w:val="00235629"/>
    <w:rsid w:val="002569E0"/>
    <w:rsid w:val="00260C38"/>
    <w:rsid w:val="002616C0"/>
    <w:rsid w:val="00265372"/>
    <w:rsid w:val="002662AA"/>
    <w:rsid w:val="0026659E"/>
    <w:rsid w:val="00280496"/>
    <w:rsid w:val="00294DC9"/>
    <w:rsid w:val="00295495"/>
    <w:rsid w:val="002A31DE"/>
    <w:rsid w:val="002B1A60"/>
    <w:rsid w:val="002B2613"/>
    <w:rsid w:val="002C5FFF"/>
    <w:rsid w:val="002D6D05"/>
    <w:rsid w:val="002F1818"/>
    <w:rsid w:val="002F567B"/>
    <w:rsid w:val="003216A9"/>
    <w:rsid w:val="00330D5B"/>
    <w:rsid w:val="00335638"/>
    <w:rsid w:val="00335A74"/>
    <w:rsid w:val="0036561B"/>
    <w:rsid w:val="0037013F"/>
    <w:rsid w:val="00380C92"/>
    <w:rsid w:val="003974B2"/>
    <w:rsid w:val="003A484F"/>
    <w:rsid w:val="003A4883"/>
    <w:rsid w:val="003B0BE0"/>
    <w:rsid w:val="003B0C1B"/>
    <w:rsid w:val="003B688C"/>
    <w:rsid w:val="003C0291"/>
    <w:rsid w:val="003C39AE"/>
    <w:rsid w:val="003C7B60"/>
    <w:rsid w:val="003D0C0F"/>
    <w:rsid w:val="003D1FB2"/>
    <w:rsid w:val="003D66DA"/>
    <w:rsid w:val="003E1310"/>
    <w:rsid w:val="003E6F55"/>
    <w:rsid w:val="003F7C12"/>
    <w:rsid w:val="00406254"/>
    <w:rsid w:val="00412996"/>
    <w:rsid w:val="004223DE"/>
    <w:rsid w:val="00424C4C"/>
    <w:rsid w:val="00426F54"/>
    <w:rsid w:val="00434489"/>
    <w:rsid w:val="00437085"/>
    <w:rsid w:val="00443880"/>
    <w:rsid w:val="004464F4"/>
    <w:rsid w:val="00471401"/>
    <w:rsid w:val="00472999"/>
    <w:rsid w:val="00473F31"/>
    <w:rsid w:val="0048263A"/>
    <w:rsid w:val="00483745"/>
    <w:rsid w:val="00487E5D"/>
    <w:rsid w:val="004A6014"/>
    <w:rsid w:val="004A711F"/>
    <w:rsid w:val="004B199D"/>
    <w:rsid w:val="004B4690"/>
    <w:rsid w:val="004E0A2D"/>
    <w:rsid w:val="004E206B"/>
    <w:rsid w:val="004E6DF7"/>
    <w:rsid w:val="004F0FBD"/>
    <w:rsid w:val="00505A47"/>
    <w:rsid w:val="00507C6F"/>
    <w:rsid w:val="00512FDA"/>
    <w:rsid w:val="00520DA0"/>
    <w:rsid w:val="00525354"/>
    <w:rsid w:val="005277AC"/>
    <w:rsid w:val="00551809"/>
    <w:rsid w:val="005567B7"/>
    <w:rsid w:val="005635A9"/>
    <w:rsid w:val="005664BB"/>
    <w:rsid w:val="00566FFA"/>
    <w:rsid w:val="0057481D"/>
    <w:rsid w:val="005760C7"/>
    <w:rsid w:val="0058486E"/>
    <w:rsid w:val="00585B33"/>
    <w:rsid w:val="0059014D"/>
    <w:rsid w:val="005A198D"/>
    <w:rsid w:val="005A54F6"/>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762E"/>
    <w:rsid w:val="0066343B"/>
    <w:rsid w:val="00664777"/>
    <w:rsid w:val="006748A4"/>
    <w:rsid w:val="00681A31"/>
    <w:rsid w:val="00682BD2"/>
    <w:rsid w:val="00683E73"/>
    <w:rsid w:val="00697BCA"/>
    <w:rsid w:val="006A3141"/>
    <w:rsid w:val="006A5E34"/>
    <w:rsid w:val="006B2422"/>
    <w:rsid w:val="006B2B9A"/>
    <w:rsid w:val="006C1937"/>
    <w:rsid w:val="006E7167"/>
    <w:rsid w:val="006F020C"/>
    <w:rsid w:val="007127B7"/>
    <w:rsid w:val="0071798E"/>
    <w:rsid w:val="007416B6"/>
    <w:rsid w:val="00746F48"/>
    <w:rsid w:val="0075404D"/>
    <w:rsid w:val="0076182A"/>
    <w:rsid w:val="00767B7E"/>
    <w:rsid w:val="007770C3"/>
    <w:rsid w:val="00780757"/>
    <w:rsid w:val="00784D24"/>
    <w:rsid w:val="00785FBA"/>
    <w:rsid w:val="00786E4A"/>
    <w:rsid w:val="007875EB"/>
    <w:rsid w:val="0079426B"/>
    <w:rsid w:val="00797B5A"/>
    <w:rsid w:val="007A2795"/>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2B37"/>
    <w:rsid w:val="00850625"/>
    <w:rsid w:val="00853718"/>
    <w:rsid w:val="00855221"/>
    <w:rsid w:val="00860645"/>
    <w:rsid w:val="00871F71"/>
    <w:rsid w:val="00872B29"/>
    <w:rsid w:val="00872FD8"/>
    <w:rsid w:val="00885AF4"/>
    <w:rsid w:val="008939CD"/>
    <w:rsid w:val="008B768C"/>
    <w:rsid w:val="008C4DB1"/>
    <w:rsid w:val="008C4EAF"/>
    <w:rsid w:val="008C5176"/>
    <w:rsid w:val="008C7FD0"/>
    <w:rsid w:val="008D0FE5"/>
    <w:rsid w:val="008E1DE7"/>
    <w:rsid w:val="008E707C"/>
    <w:rsid w:val="00900B08"/>
    <w:rsid w:val="00902155"/>
    <w:rsid w:val="00902FA3"/>
    <w:rsid w:val="00923564"/>
    <w:rsid w:val="0092392E"/>
    <w:rsid w:val="009315F9"/>
    <w:rsid w:val="00931A9F"/>
    <w:rsid w:val="00933499"/>
    <w:rsid w:val="00935C98"/>
    <w:rsid w:val="00944047"/>
    <w:rsid w:val="00946945"/>
    <w:rsid w:val="00951248"/>
    <w:rsid w:val="0095152F"/>
    <w:rsid w:val="00954C49"/>
    <w:rsid w:val="00955E37"/>
    <w:rsid w:val="0097099F"/>
    <w:rsid w:val="00971997"/>
    <w:rsid w:val="00971FFC"/>
    <w:rsid w:val="0097208D"/>
    <w:rsid w:val="009845FF"/>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4DA5"/>
    <w:rsid w:val="00A268C4"/>
    <w:rsid w:val="00A307CD"/>
    <w:rsid w:val="00A331C8"/>
    <w:rsid w:val="00A3504A"/>
    <w:rsid w:val="00A40A00"/>
    <w:rsid w:val="00A4142F"/>
    <w:rsid w:val="00A422EB"/>
    <w:rsid w:val="00A45BB7"/>
    <w:rsid w:val="00A51A14"/>
    <w:rsid w:val="00A56DF2"/>
    <w:rsid w:val="00A56E6E"/>
    <w:rsid w:val="00A67AB5"/>
    <w:rsid w:val="00A733B2"/>
    <w:rsid w:val="00A741C2"/>
    <w:rsid w:val="00A81AF0"/>
    <w:rsid w:val="00A86352"/>
    <w:rsid w:val="00A91760"/>
    <w:rsid w:val="00A93B00"/>
    <w:rsid w:val="00A93C21"/>
    <w:rsid w:val="00AB1141"/>
    <w:rsid w:val="00AB64C9"/>
    <w:rsid w:val="00AC3C6A"/>
    <w:rsid w:val="00AD5620"/>
    <w:rsid w:val="00AD656B"/>
    <w:rsid w:val="00AD7C1B"/>
    <w:rsid w:val="00AE16BA"/>
    <w:rsid w:val="00AE1EBE"/>
    <w:rsid w:val="00AF53B9"/>
    <w:rsid w:val="00B03C9D"/>
    <w:rsid w:val="00B060AE"/>
    <w:rsid w:val="00B10517"/>
    <w:rsid w:val="00B12414"/>
    <w:rsid w:val="00B1323B"/>
    <w:rsid w:val="00B14E76"/>
    <w:rsid w:val="00B161B8"/>
    <w:rsid w:val="00B2048C"/>
    <w:rsid w:val="00B310B9"/>
    <w:rsid w:val="00B35F3F"/>
    <w:rsid w:val="00B36CBB"/>
    <w:rsid w:val="00B425E0"/>
    <w:rsid w:val="00B440AA"/>
    <w:rsid w:val="00B44B70"/>
    <w:rsid w:val="00B53C56"/>
    <w:rsid w:val="00B564E3"/>
    <w:rsid w:val="00B57DAF"/>
    <w:rsid w:val="00B77EA6"/>
    <w:rsid w:val="00B81598"/>
    <w:rsid w:val="00B841F1"/>
    <w:rsid w:val="00B944D6"/>
    <w:rsid w:val="00BB4DF0"/>
    <w:rsid w:val="00BC289F"/>
    <w:rsid w:val="00BC2D50"/>
    <w:rsid w:val="00BC5361"/>
    <w:rsid w:val="00BC5460"/>
    <w:rsid w:val="00BC6B50"/>
    <w:rsid w:val="00BD0E25"/>
    <w:rsid w:val="00BF174B"/>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61A3"/>
    <w:rsid w:val="00CE44F6"/>
    <w:rsid w:val="00CE49DA"/>
    <w:rsid w:val="00CE7B61"/>
    <w:rsid w:val="00D00095"/>
    <w:rsid w:val="00D114F0"/>
    <w:rsid w:val="00D20620"/>
    <w:rsid w:val="00D254F7"/>
    <w:rsid w:val="00D26091"/>
    <w:rsid w:val="00D2685C"/>
    <w:rsid w:val="00D34E7C"/>
    <w:rsid w:val="00D35489"/>
    <w:rsid w:val="00D35627"/>
    <w:rsid w:val="00D36AFE"/>
    <w:rsid w:val="00D46132"/>
    <w:rsid w:val="00D51276"/>
    <w:rsid w:val="00D55BE3"/>
    <w:rsid w:val="00D7035F"/>
    <w:rsid w:val="00DA634F"/>
    <w:rsid w:val="00DA65AC"/>
    <w:rsid w:val="00DB1913"/>
    <w:rsid w:val="00DC410D"/>
    <w:rsid w:val="00DC5A81"/>
    <w:rsid w:val="00DC68CA"/>
    <w:rsid w:val="00DC7CBA"/>
    <w:rsid w:val="00DD345A"/>
    <w:rsid w:val="00DD5F84"/>
    <w:rsid w:val="00DD73B7"/>
    <w:rsid w:val="00DF01D8"/>
    <w:rsid w:val="00DF28BC"/>
    <w:rsid w:val="00DF34B9"/>
    <w:rsid w:val="00E01053"/>
    <w:rsid w:val="00E07ACF"/>
    <w:rsid w:val="00E20AE5"/>
    <w:rsid w:val="00E331A1"/>
    <w:rsid w:val="00E33202"/>
    <w:rsid w:val="00E336A9"/>
    <w:rsid w:val="00E472B1"/>
    <w:rsid w:val="00E50624"/>
    <w:rsid w:val="00E568DF"/>
    <w:rsid w:val="00E60578"/>
    <w:rsid w:val="00E63C40"/>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17EA4"/>
    <w:rsid w:val="00F2408F"/>
    <w:rsid w:val="00F240E9"/>
    <w:rsid w:val="00F36D8F"/>
    <w:rsid w:val="00F417B1"/>
    <w:rsid w:val="00F45853"/>
    <w:rsid w:val="00F602DF"/>
    <w:rsid w:val="00F754A1"/>
    <w:rsid w:val="00F81FD9"/>
    <w:rsid w:val="00F841AA"/>
    <w:rsid w:val="00F84A94"/>
    <w:rsid w:val="00F87E96"/>
    <w:rsid w:val="00FA23E8"/>
    <w:rsid w:val="00FD3CC1"/>
    <w:rsid w:val="00FD6337"/>
    <w:rsid w:val="00FF1E02"/>
    <w:rsid w:val="00FF30B4"/>
    <w:rsid w:val="01CE57B8"/>
    <w:rsid w:val="053A62B5"/>
    <w:rsid w:val="0A2032A3"/>
    <w:rsid w:val="0B8A37D8"/>
    <w:rsid w:val="10C055FF"/>
    <w:rsid w:val="118107EC"/>
    <w:rsid w:val="11DD6519"/>
    <w:rsid w:val="16BB723D"/>
    <w:rsid w:val="18015F3F"/>
    <w:rsid w:val="1BE8440E"/>
    <w:rsid w:val="1D155CEE"/>
    <w:rsid w:val="1D4B5AB7"/>
    <w:rsid w:val="2004675B"/>
    <w:rsid w:val="20F57F95"/>
    <w:rsid w:val="240371BF"/>
    <w:rsid w:val="25711CC6"/>
    <w:rsid w:val="25C741E6"/>
    <w:rsid w:val="27842671"/>
    <w:rsid w:val="28560A38"/>
    <w:rsid w:val="29FD04D3"/>
    <w:rsid w:val="2AA131BA"/>
    <w:rsid w:val="2ABE7A3E"/>
    <w:rsid w:val="2CA234A8"/>
    <w:rsid w:val="2D9E1C33"/>
    <w:rsid w:val="2EFA178C"/>
    <w:rsid w:val="30B46D73"/>
    <w:rsid w:val="319F7F4E"/>
    <w:rsid w:val="3278141B"/>
    <w:rsid w:val="383D272C"/>
    <w:rsid w:val="389B56ED"/>
    <w:rsid w:val="39AE70AB"/>
    <w:rsid w:val="3C0C0783"/>
    <w:rsid w:val="3EDA73ED"/>
    <w:rsid w:val="3F9F3A96"/>
    <w:rsid w:val="3FC75019"/>
    <w:rsid w:val="41630D72"/>
    <w:rsid w:val="44F63366"/>
    <w:rsid w:val="475E482A"/>
    <w:rsid w:val="48BF60AB"/>
    <w:rsid w:val="493C27E9"/>
    <w:rsid w:val="496F39ED"/>
    <w:rsid w:val="49FF41D3"/>
    <w:rsid w:val="4BE068DB"/>
    <w:rsid w:val="4BF6002B"/>
    <w:rsid w:val="4E2A50F1"/>
    <w:rsid w:val="4ECE2238"/>
    <w:rsid w:val="51C84257"/>
    <w:rsid w:val="51DB4B86"/>
    <w:rsid w:val="53065A01"/>
    <w:rsid w:val="55333C3E"/>
    <w:rsid w:val="5C9127DF"/>
    <w:rsid w:val="64987C6E"/>
    <w:rsid w:val="64CA39A1"/>
    <w:rsid w:val="656D2C75"/>
    <w:rsid w:val="66482160"/>
    <w:rsid w:val="69630ADE"/>
    <w:rsid w:val="6B53D109"/>
    <w:rsid w:val="6C4A05C8"/>
    <w:rsid w:val="6CDFDD20"/>
    <w:rsid w:val="6D3B1A89"/>
    <w:rsid w:val="6FFF94FD"/>
    <w:rsid w:val="71BF4EC2"/>
    <w:rsid w:val="72734D90"/>
    <w:rsid w:val="73DF1F7A"/>
    <w:rsid w:val="7412278C"/>
    <w:rsid w:val="759F48C3"/>
    <w:rsid w:val="79E7B28D"/>
    <w:rsid w:val="7B6DC811"/>
    <w:rsid w:val="7C227817"/>
    <w:rsid w:val="7F9F20EE"/>
    <w:rsid w:val="8EFDE9AC"/>
    <w:rsid w:val="957E6477"/>
    <w:rsid w:val="9E3A10E2"/>
    <w:rsid w:val="D7B7B19D"/>
    <w:rsid w:val="EBCFA97B"/>
    <w:rsid w:val="EFFF084C"/>
    <w:rsid w:val="F2E1F9D4"/>
    <w:rsid w:val="F7880819"/>
    <w:rsid w:val="FCFF7C1B"/>
    <w:rsid w:val="FF3F6F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99"/>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15"/>
    <w:basedOn w:val="1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收、支决算总计变动情况图</a:t>
            </a:r>
            <a:endParaRPr lang="en-US" altLang="zh-CN"/>
          </a:p>
        </c:rich>
      </c:tx>
      <c:layout>
        <c:manualLayout>
          <c:xMode val="edge"/>
          <c:yMode val="edge"/>
          <c:x val="0.307727775454891"/>
          <c:y val="0.0395589200677921"/>
        </c:manualLayout>
      </c:layout>
      <c:overlay val="0"/>
      <c:spPr>
        <a:noFill/>
        <a:ln>
          <a:noFill/>
        </a:ln>
        <a:effectLst/>
      </c:spPr>
    </c:title>
    <c:autoTitleDeleted val="0"/>
    <c:plotArea>
      <c:layout>
        <c:manualLayout>
          <c:layoutTarget val="inner"/>
          <c:xMode val="edge"/>
          <c:yMode val="edge"/>
          <c:x val="0.07968108238705"/>
          <c:y val="0.178708032299194"/>
          <c:w val="0.885769509543368"/>
          <c:h val="0.671780705482363"/>
        </c:manualLayout>
      </c:layout>
      <c:barChart>
        <c:barDir val="col"/>
        <c:grouping val="clustered"/>
        <c:varyColors val="0"/>
        <c:ser>
          <c:idx val="0"/>
          <c:order val="0"/>
          <c:tx>
            <c:strRef>
              <c:f>Sheet1!$B$1</c:f>
              <c:strCache>
                <c:ptCount val="1"/>
                <c:pt idx="0">
                  <c:v>2021年</c:v>
                </c:pt>
              </c:strCache>
            </c:strRef>
          </c:tx>
          <c:spPr>
            <a:solidFill>
              <a:srgbClr val="907876"/>
            </a:solidFill>
            <a:ln>
              <a:noFill/>
            </a:ln>
            <a:effectLst/>
          </c:spPr>
          <c:invertIfNegative val="0"/>
          <c:dLbls>
            <c:dLbl>
              <c:idx val="0"/>
              <c:layout>
                <c:manualLayout>
                  <c:x val="0.00289925102681807"/>
                  <c:y val="-0.0856353591160228"/>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收支</c:v>
                </c:pt>
              </c:strCache>
            </c:strRef>
          </c:cat>
          <c:val>
            <c:numRef>
              <c:f>Sheet1!$B$2</c:f>
              <c:numCache>
                <c:formatCode>General</c:formatCode>
                <c:ptCount val="1"/>
                <c:pt idx="0">
                  <c:v>429.4</c:v>
                </c:pt>
              </c:numCache>
            </c:numRef>
          </c:val>
        </c:ser>
        <c:ser>
          <c:idx val="1"/>
          <c:order val="1"/>
          <c:tx>
            <c:strRef>
              <c:f>Sheet1!$C$1</c:f>
              <c:strCache>
                <c:ptCount val="1"/>
                <c:pt idx="0">
                  <c:v>2022年</c:v>
                </c:pt>
              </c:strCache>
            </c:strRef>
          </c:tx>
          <c:spPr>
            <a:solidFill>
              <a:srgbClr val="EE5037"/>
            </a:solidFill>
            <a:ln>
              <a:noFill/>
            </a:ln>
            <a:effectLst/>
          </c:spPr>
          <c:invertIfNegative val="0"/>
          <c:dLbls>
            <c:dLbl>
              <c:idx val="0"/>
              <c:layout>
                <c:manualLayout>
                  <c:x val="0"/>
                  <c:y val="-0.083297917552061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收支</c:v>
                </c:pt>
              </c:strCache>
            </c:strRef>
          </c:cat>
          <c:val>
            <c:numRef>
              <c:f>Sheet1!$C$2</c:f>
              <c:numCache>
                <c:formatCode>General</c:formatCode>
                <c:ptCount val="1"/>
                <c:pt idx="0">
                  <c:v>443.66</c:v>
                </c:pt>
              </c:numCache>
            </c:numRef>
          </c:val>
        </c:ser>
        <c:dLbls>
          <c:showLegendKey val="0"/>
          <c:showVal val="1"/>
          <c:showCatName val="0"/>
          <c:showSerName val="0"/>
          <c:showPercent val="0"/>
          <c:showBubbleSize val="0"/>
        </c:dLbls>
        <c:gapWidth val="298"/>
        <c:overlap val="-7"/>
        <c:axId val="105988096"/>
        <c:axId val="105989632"/>
      </c:barChart>
      <c:catAx>
        <c:axId val="10598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105989632"/>
        <c:crosses val="autoZero"/>
        <c:auto val="1"/>
        <c:lblAlgn val="ctr"/>
        <c:lblOffset val="100"/>
        <c:noMultiLvlLbl val="0"/>
      </c:catAx>
      <c:valAx>
        <c:axId val="105989632"/>
        <c:scaling>
          <c:orientation val="minMax"/>
          <c:max val="500"/>
          <c:min val="0"/>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105988096"/>
        <c:crosses val="autoZero"/>
        <c:crossBetween val="between"/>
      </c:valAx>
      <c:spPr>
        <a:pattFill prst="wdUpDiag">
          <a:fgClr>
            <a:schemeClr val="bg1">
              <a:lumMod val="95000"/>
            </a:schemeClr>
          </a:fgClr>
          <a:bgClr>
            <a:schemeClr val="bg1"/>
          </a:bgClr>
        </a:pattFill>
        <a:ln>
          <a:solidFill>
            <a:schemeClr val="bg1">
              <a:lumMod val="95000"/>
            </a:schemeClr>
          </a:solidFill>
        </a:ln>
        <a:effectLst/>
      </c:spPr>
    </c:plotArea>
    <c:legend>
      <c:legendPos val="t"/>
      <c:layout>
        <c:manualLayout>
          <c:xMode val="edge"/>
          <c:yMode val="edge"/>
          <c:x val="0.426817506971138"/>
          <c:y val="0.922439439014025"/>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lumMod val="65000"/>
              <a:lumOff val="35000"/>
            </a:schemeClr>
          </a:solidFill>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支出决算结构图</c:v>
                </c:pt>
              </c:strCache>
            </c:strRef>
          </c:tx>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manualLayout>
                  <c:x val="0.0441575684320982"/>
                  <c:y val="-0.0434605427534616"/>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1"/>
              <c:layout>
                <c:manualLayout>
                  <c:x val="-0.0302478501025816"/>
                  <c:y val="-0.0168126854075802"/>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spPr>
              <a:noFill/>
              <a:ln>
                <a:solidFill>
                  <a:schemeClr val="accent1"/>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0.534</c:v>
                </c:pt>
                <c:pt idx="1">
                  <c:v>0.466</c:v>
                </c:pt>
              </c:numCache>
            </c:numRef>
          </c:val>
        </c:ser>
        <c:dLbls>
          <c:showLegendKey val="1"/>
          <c:showVal val="1"/>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财政拨款收、支决算总计变动情况图</a:t>
            </a:r>
            <a:endParaRPr lang="en-US" altLang="zh-CN"/>
          </a:p>
        </c:rich>
      </c:tx>
      <c:layout>
        <c:manualLayout>
          <c:xMode val="edge"/>
          <c:yMode val="edge"/>
          <c:x val="0.24358184648654"/>
          <c:y val="0.0443217698395723"/>
        </c:manualLayout>
      </c:layout>
      <c:overlay val="0"/>
      <c:spPr>
        <a:noFill/>
        <a:ln>
          <a:noFill/>
        </a:ln>
        <a:effectLst/>
      </c:spPr>
    </c:title>
    <c:autoTitleDeleted val="0"/>
    <c:plotArea>
      <c:layout>
        <c:manualLayout>
          <c:layoutTarget val="inner"/>
          <c:xMode val="edge"/>
          <c:yMode val="edge"/>
          <c:x val="0.07968108238705"/>
          <c:y val="0.178708032299194"/>
          <c:w val="0.885769509543368"/>
          <c:h val="0.671780705482363"/>
        </c:manualLayout>
      </c:layout>
      <c:barChart>
        <c:barDir val="col"/>
        <c:grouping val="clustered"/>
        <c:varyColors val="0"/>
        <c:ser>
          <c:idx val="0"/>
          <c:order val="0"/>
          <c:tx>
            <c:strRef>
              <c:f>Sheet1!$B$1</c:f>
              <c:strCache>
                <c:ptCount val="1"/>
                <c:pt idx="0">
                  <c:v>2021年</c:v>
                </c:pt>
              </c:strCache>
            </c:strRef>
          </c:tx>
          <c:spPr>
            <a:solidFill>
              <a:srgbClr val="907876"/>
            </a:solidFill>
            <a:ln>
              <a:noFill/>
            </a:ln>
            <a:effectLst/>
          </c:spPr>
          <c:invertIfNegative val="0"/>
          <c:dLbls>
            <c:dLbl>
              <c:idx val="0"/>
              <c:layout>
                <c:manualLayout>
                  <c:x val="0.00289925102681807"/>
                  <c:y val="-0.0856353591160228"/>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财政拨款收入、支出</c:v>
                </c:pt>
              </c:strCache>
            </c:strRef>
          </c:cat>
          <c:val>
            <c:numRef>
              <c:f>Sheet1!$B$2</c:f>
              <c:numCache>
                <c:formatCode>General</c:formatCode>
                <c:ptCount val="1"/>
                <c:pt idx="0">
                  <c:v>429.4</c:v>
                </c:pt>
              </c:numCache>
            </c:numRef>
          </c:val>
        </c:ser>
        <c:ser>
          <c:idx val="1"/>
          <c:order val="1"/>
          <c:tx>
            <c:strRef>
              <c:f>Sheet1!$C$1</c:f>
              <c:strCache>
                <c:ptCount val="1"/>
                <c:pt idx="0">
                  <c:v>2022年</c:v>
                </c:pt>
              </c:strCache>
            </c:strRef>
          </c:tx>
          <c:spPr>
            <a:solidFill>
              <a:srgbClr val="EE5037"/>
            </a:solidFill>
            <a:ln>
              <a:noFill/>
            </a:ln>
            <a:effectLst/>
          </c:spPr>
          <c:invertIfNegative val="0"/>
          <c:dLbls>
            <c:dLbl>
              <c:idx val="0"/>
              <c:layout>
                <c:manualLayout>
                  <c:x val="0"/>
                  <c:y val="-0.083297917552061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财政拨款收入、支出</c:v>
                </c:pt>
              </c:strCache>
            </c:strRef>
          </c:cat>
          <c:val>
            <c:numRef>
              <c:f>Sheet1!$C$2</c:f>
              <c:numCache>
                <c:formatCode>General</c:formatCode>
                <c:ptCount val="1"/>
                <c:pt idx="0">
                  <c:v>443.32</c:v>
                </c:pt>
              </c:numCache>
            </c:numRef>
          </c:val>
        </c:ser>
        <c:dLbls>
          <c:showLegendKey val="0"/>
          <c:showVal val="1"/>
          <c:showCatName val="0"/>
          <c:showSerName val="0"/>
          <c:showPercent val="0"/>
          <c:showBubbleSize val="0"/>
        </c:dLbls>
        <c:gapWidth val="298"/>
        <c:overlap val="-7"/>
        <c:axId val="142849536"/>
        <c:axId val="142901248"/>
      </c:barChart>
      <c:catAx>
        <c:axId val="14284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142901248"/>
        <c:crosses val="autoZero"/>
        <c:auto val="1"/>
        <c:lblAlgn val="ctr"/>
        <c:lblOffset val="100"/>
        <c:noMultiLvlLbl val="0"/>
      </c:catAx>
      <c:valAx>
        <c:axId val="142901248"/>
        <c:scaling>
          <c:orientation val="minMax"/>
          <c:max val="500"/>
          <c:min val="0"/>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142849536"/>
        <c:crosses val="autoZero"/>
        <c:crossBetween val="between"/>
      </c:valAx>
      <c:spPr>
        <a:pattFill prst="wdUpDiag">
          <a:fgClr>
            <a:schemeClr val="bg1">
              <a:lumMod val="95000"/>
            </a:schemeClr>
          </a:fgClr>
          <a:bgClr>
            <a:schemeClr val="bg1"/>
          </a:bgClr>
        </a:pattFill>
        <a:ln>
          <a:solidFill>
            <a:schemeClr val="bg1">
              <a:lumMod val="95000"/>
            </a:schemeClr>
          </a:solidFill>
        </a:ln>
        <a:effectLst/>
      </c:spPr>
    </c:plotArea>
    <c:legend>
      <c:legendPos val="t"/>
      <c:layout>
        <c:manualLayout>
          <c:xMode val="edge"/>
          <c:yMode val="edge"/>
          <c:x val="0.426817506971138"/>
          <c:y val="0.922439439014025"/>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lumMod val="65000"/>
              <a:lumOff val="35000"/>
            </a:schemeClr>
          </a:solid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一般公共预算财政拨款支出决算变动情况</a:t>
            </a:r>
            <a:endParaRPr lang="en-US" altLang="zh-CN"/>
          </a:p>
        </c:rich>
      </c:tx>
      <c:layout>
        <c:manualLayout>
          <c:xMode val="edge"/>
          <c:yMode val="edge"/>
          <c:x val="0.24358184648654"/>
          <c:y val="0.0443217698395723"/>
        </c:manualLayout>
      </c:layout>
      <c:overlay val="0"/>
      <c:spPr>
        <a:noFill/>
        <a:ln>
          <a:noFill/>
        </a:ln>
        <a:effectLst/>
      </c:spPr>
    </c:title>
    <c:autoTitleDeleted val="0"/>
    <c:plotArea>
      <c:layout>
        <c:manualLayout>
          <c:layoutTarget val="inner"/>
          <c:xMode val="edge"/>
          <c:yMode val="edge"/>
          <c:x val="0.07968108238705"/>
          <c:y val="0.178708032299194"/>
          <c:w val="0.885769509543368"/>
          <c:h val="0.671780705482363"/>
        </c:manualLayout>
      </c:layout>
      <c:barChart>
        <c:barDir val="col"/>
        <c:grouping val="clustered"/>
        <c:varyColors val="0"/>
        <c:ser>
          <c:idx val="0"/>
          <c:order val="0"/>
          <c:tx>
            <c:strRef>
              <c:f>Sheet1!$B$1</c:f>
              <c:strCache>
                <c:ptCount val="1"/>
                <c:pt idx="0">
                  <c:v>2021年</c:v>
                </c:pt>
              </c:strCache>
            </c:strRef>
          </c:tx>
          <c:spPr>
            <a:solidFill>
              <a:srgbClr val="907876"/>
            </a:solidFill>
            <a:ln>
              <a:noFill/>
            </a:ln>
            <a:effectLst/>
          </c:spPr>
          <c:invertIfNegative val="0"/>
          <c:dLbls>
            <c:dLbl>
              <c:idx val="0"/>
              <c:layout>
                <c:manualLayout>
                  <c:x val="0.00289925102681807"/>
                  <c:y val="-0.0856353591160228"/>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财政拨款收入、支出</c:v>
                </c:pt>
              </c:strCache>
            </c:strRef>
          </c:cat>
          <c:val>
            <c:numRef>
              <c:f>Sheet1!$B$2</c:f>
              <c:numCache>
                <c:formatCode>General</c:formatCode>
                <c:ptCount val="1"/>
                <c:pt idx="0">
                  <c:v>429.08</c:v>
                </c:pt>
              </c:numCache>
            </c:numRef>
          </c:val>
        </c:ser>
        <c:ser>
          <c:idx val="1"/>
          <c:order val="1"/>
          <c:tx>
            <c:strRef>
              <c:f>Sheet1!$C$1</c:f>
              <c:strCache>
                <c:ptCount val="1"/>
                <c:pt idx="0">
                  <c:v>2022年</c:v>
                </c:pt>
              </c:strCache>
            </c:strRef>
          </c:tx>
          <c:spPr>
            <a:solidFill>
              <a:srgbClr val="EE5037"/>
            </a:solidFill>
            <a:ln>
              <a:noFill/>
            </a:ln>
            <a:effectLst/>
          </c:spPr>
          <c:invertIfNegative val="0"/>
          <c:dLbls>
            <c:dLbl>
              <c:idx val="0"/>
              <c:layout>
                <c:manualLayout>
                  <c:x val="0"/>
                  <c:y val="-0.083297917552061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财政拨款收入、支出</c:v>
                </c:pt>
              </c:strCache>
            </c:strRef>
          </c:cat>
          <c:val>
            <c:numRef>
              <c:f>Sheet1!$C$2</c:f>
              <c:numCache>
                <c:formatCode>General</c:formatCode>
                <c:ptCount val="1"/>
                <c:pt idx="0">
                  <c:v>436.5</c:v>
                </c:pt>
              </c:numCache>
            </c:numRef>
          </c:val>
        </c:ser>
        <c:dLbls>
          <c:showLegendKey val="0"/>
          <c:showVal val="1"/>
          <c:showCatName val="0"/>
          <c:showSerName val="0"/>
          <c:showPercent val="0"/>
          <c:showBubbleSize val="0"/>
        </c:dLbls>
        <c:gapWidth val="298"/>
        <c:overlap val="-7"/>
        <c:axId val="148397056"/>
        <c:axId val="135574272"/>
      </c:barChart>
      <c:catAx>
        <c:axId val="14839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135574272"/>
        <c:crosses val="autoZero"/>
        <c:auto val="1"/>
        <c:lblAlgn val="ctr"/>
        <c:lblOffset val="100"/>
        <c:noMultiLvlLbl val="0"/>
      </c:catAx>
      <c:valAx>
        <c:axId val="135574272"/>
        <c:scaling>
          <c:orientation val="minMax"/>
          <c:max val="500"/>
          <c:min val="0"/>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148397056"/>
        <c:crosses val="autoZero"/>
        <c:crossBetween val="between"/>
      </c:valAx>
      <c:spPr>
        <a:pattFill prst="wdUpDiag">
          <a:fgClr>
            <a:schemeClr val="bg1">
              <a:lumMod val="95000"/>
            </a:schemeClr>
          </a:fgClr>
          <a:bgClr>
            <a:schemeClr val="bg1"/>
          </a:bgClr>
        </a:pattFill>
        <a:ln>
          <a:solidFill>
            <a:schemeClr val="bg1">
              <a:lumMod val="95000"/>
            </a:schemeClr>
          </a:solidFill>
        </a:ln>
        <a:effectLst/>
      </c:spPr>
    </c:plotArea>
    <c:legend>
      <c:legendPos val="t"/>
      <c:layout>
        <c:manualLayout>
          <c:xMode val="edge"/>
          <c:yMode val="edge"/>
          <c:x val="0.426817506971138"/>
          <c:y val="0.922439439014025"/>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lumMod val="65000"/>
              <a:lumOff val="35000"/>
            </a:schemeClr>
          </a:solidFill>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2007731336072"/>
          <c:y val="0.0254993625159372"/>
        </c:manualLayout>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一般公共预算财政拨款支出决算结构图</c:v>
                </c:pt>
              </c:strCache>
            </c:strRef>
          </c:tx>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layout>
                <c:manualLayout>
                  <c:x val="0.182652814689539"/>
                  <c:y val="-0.0614109647258819"/>
                </c:manualLayout>
              </c:layout>
              <c:dLblPos val="bestFit"/>
              <c:showLegendKey val="1"/>
              <c:showVal val="1"/>
              <c:showCatName val="1"/>
              <c:showSerName val="0"/>
              <c:showPercent val="0"/>
              <c:showBubbleSize val="0"/>
              <c:extLst>
                <c:ext xmlns:c15="http://schemas.microsoft.com/office/drawing/2012/chart" uri="{CE6537A1-D6FC-4f65-9D91-7224C49458BB}">
                  <c15:layout>
                    <c:manualLayout>
                      <c:w val="0.257550132882339"/>
                      <c:h val="0.187420314492138"/>
                    </c:manualLayout>
                  </c15:layout>
                </c:ext>
              </c:extLst>
            </c:dLbl>
            <c:dLbl>
              <c:idx val="1"/>
              <c:layout>
                <c:manualLayout>
                  <c:x val="-0.130385596353833"/>
                  <c:y val="0.0596928520897761"/>
                </c:manualLayout>
              </c:layout>
              <c:dLblPos val="bestFit"/>
              <c:showLegendKey val="1"/>
              <c:showVal val="1"/>
              <c:showCatName val="1"/>
              <c:showSerName val="0"/>
              <c:showPercent val="0"/>
              <c:showBubbleSize val="0"/>
              <c:extLst>
                <c:ext xmlns:c15="http://schemas.microsoft.com/office/drawing/2012/chart" uri="{CE6537A1-D6FC-4f65-9D91-7224C49458BB}">
                  <c15:layout>
                    <c:manualLayout>
                      <c:w val="0.341386808407828"/>
                      <c:h val="0.0854228644283893"/>
                    </c:manualLayout>
                  </c15:layout>
                </c:ext>
              </c:extLst>
            </c:dLbl>
            <c:dLbl>
              <c:idx val="2"/>
              <c:layout>
                <c:manualLayout>
                  <c:x val="-0.0572205219085524"/>
                  <c:y val="-0.0158415642112953"/>
                </c:manualLayout>
              </c:layout>
              <c:dLblPos val="bestFit"/>
              <c:showLegendKey val="1"/>
              <c:showVal val="1"/>
              <c:showCatName val="1"/>
              <c:showSerName val="0"/>
              <c:showPercent val="0"/>
              <c:showBubbleSize val="0"/>
              <c:extLst>
                <c:ext xmlns:c15="http://schemas.microsoft.com/office/drawing/2012/chart" uri="{CE6537A1-D6FC-4f65-9D91-7224C49458BB}">
                  <c15:layout>
                    <c:manualLayout>
                      <c:w val="0.28883788354675"/>
                      <c:h val="0.0811729706757331"/>
                    </c:manualLayout>
                  </c15:layout>
                </c:ext>
              </c:extLst>
            </c:dLbl>
            <c:dLbl>
              <c:idx val="3"/>
              <c:layout>
                <c:manualLayout>
                  <c:x val="0.228436820488041"/>
                  <c:y val="0"/>
                </c:manualLayout>
              </c:layout>
              <c:dLblPos val="bestFit"/>
              <c:showLegendKey val="1"/>
              <c:showVal val="1"/>
              <c:showCatName val="1"/>
              <c:showSerName val="0"/>
              <c:showPercent val="0"/>
              <c:showBubbleSize val="0"/>
              <c:extLst>
                <c:ext xmlns:c15="http://schemas.microsoft.com/office/drawing/2012/chart" uri="{CE6537A1-D6FC-4f65-9D91-7224C49458BB}">
                  <c15:layout>
                    <c:manualLayout>
                      <c:w val="0.276636868808891"/>
                      <c:h val="0.0705482362940927"/>
                    </c:manualLayout>
                  </c15:layout>
                </c:ext>
              </c:extLst>
            </c:dLbl>
            <c:spPr>
              <a:noFill/>
              <a:ln>
                <a:solidFill>
                  <a:schemeClr val="accent1"/>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文化旅游体育与传媒支出</c:v>
                </c:pt>
                <c:pt idx="1">
                  <c:v>社会保障和就业支出</c:v>
                </c:pt>
                <c:pt idx="2">
                  <c:v>卫生健康支出</c:v>
                </c:pt>
                <c:pt idx="3">
                  <c:v>住房保障支出</c:v>
                </c:pt>
              </c:strCache>
            </c:strRef>
          </c:cat>
          <c:val>
            <c:numRef>
              <c:f>Sheet1!$B$2:$B$5</c:f>
              <c:numCache>
                <c:formatCode>0.00%</c:formatCode>
                <c:ptCount val="4"/>
                <c:pt idx="0">
                  <c:v>0.904</c:v>
                </c:pt>
                <c:pt idx="1">
                  <c:v>0.033</c:v>
                </c:pt>
                <c:pt idx="2">
                  <c:v>0.018</c:v>
                </c:pt>
                <c:pt idx="3">
                  <c:v>0.045</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a:t>
            </a:r>
            <a:r>
              <a:t>三公</a:t>
            </a:r>
            <a:r>
              <a:rPr lang="en-US" altLang="zh-CN"/>
              <a:t>”</a:t>
            </a:r>
            <a:r>
              <a:t>经费财政拨款支出结构图</a:t>
            </a:r>
          </a:p>
        </c:rich>
      </c:tx>
      <c:layout>
        <c:manualLayout>
          <c:xMode val="edge"/>
          <c:yMode val="edge"/>
          <c:x val="0.298502053636145"/>
          <c:y val="0.0254993625159372"/>
        </c:manualLayout>
      </c:layout>
      <c:overlay val="0"/>
      <c:spPr>
        <a:noFill/>
        <a:ln>
          <a:noFill/>
        </a:ln>
        <a:effectLst/>
      </c:spPr>
    </c:title>
    <c:autoTitleDeleted val="0"/>
    <c:plotArea>
      <c:layout/>
      <c:pieChart>
        <c:varyColors val="1"/>
        <c:ser>
          <c:idx val="0"/>
          <c:order val="0"/>
          <c:tx>
            <c:strRef>
              <c:f>Sheet1!$B$1</c:f>
              <c:strCache>
                <c:ptCount val="1"/>
                <c:pt idx="0">
                  <c:v>“三公”经费财政拨款支出结构图</c:v>
                </c:pt>
              </c:strCache>
            </c:strRef>
          </c:tx>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manualLayout>
                  <c:x val="0.206330031408553"/>
                  <c:y val="0.0191245218869529"/>
                </c:manualLayout>
              </c:layout>
              <c:dLblPos val="bestFit"/>
              <c:showLegendKey val="1"/>
              <c:showVal val="1"/>
              <c:showCatName val="1"/>
              <c:showSerName val="0"/>
              <c:showPercent val="0"/>
              <c:showBubbleSize val="0"/>
              <c:extLst>
                <c:ext xmlns:c15="http://schemas.microsoft.com/office/drawing/2012/chart" uri="{CE6537A1-D6FC-4f65-9D91-7224C49458BB}">
                  <c15:layout>
                    <c:manualLayout>
                      <c:w val="0.361802367721672"/>
                      <c:h val="0.0998725031874206"/>
                    </c:manualLayout>
                  </c15:layout>
                </c:ext>
              </c:extLst>
            </c:dLbl>
            <c:dLbl>
              <c:idx val="1"/>
              <c:layout>
                <c:manualLayout>
                  <c:x val="0.0815577833360295"/>
                  <c:y val="-0.00021249468763281"/>
                </c:manualLayout>
              </c:layout>
              <c:dLblPos val="bestFit"/>
              <c:showLegendKey val="1"/>
              <c:showVal val="1"/>
              <c:showCatName val="1"/>
              <c:showSerName val="0"/>
              <c:showPercent val="0"/>
              <c:showBubbleSize val="0"/>
              <c:extLst>
                <c:ext xmlns:c15="http://schemas.microsoft.com/office/drawing/2012/chart" uri="{CE6537A1-D6FC-4f65-9D91-7224C49458BB}">
                  <c15:layout>
                    <c:manualLayout>
                      <c:w val="0.457719255858903"/>
                      <c:h val="0.0796855078623035"/>
                    </c:manualLayout>
                  </c15:layout>
                </c:ext>
              </c:extLst>
            </c:dLbl>
            <c:dLbl>
              <c:idx val="2"/>
              <c:layout>
                <c:manualLayout>
                  <c:x val="-0.0572205219085524"/>
                  <c:y val="-0.0158415642112953"/>
                </c:manualLayout>
              </c:layout>
              <c:dLblPos val="bestFit"/>
              <c:showLegendKey val="1"/>
              <c:showVal val="1"/>
              <c:showCatName val="1"/>
              <c:showSerName val="0"/>
              <c:showPercent val="0"/>
              <c:showBubbleSize val="0"/>
              <c:extLst>
                <c:ext xmlns:c15="http://schemas.microsoft.com/office/drawing/2012/chart" uri="{CE6537A1-D6FC-4f65-9D91-7224C49458BB}">
                  <c15:layout>
                    <c:manualLayout>
                      <c:w val="0.28883788354675"/>
                      <c:h val="0.0811729706757331"/>
                    </c:manualLayout>
                  </c15:layout>
                </c:ext>
              </c:extLst>
            </c:dLbl>
            <c:spPr>
              <a:noFill/>
              <a:ln>
                <a:solidFill>
                  <a:schemeClr val="accent1"/>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0%</c:formatCode>
                <c:ptCount val="3"/>
                <c:pt idx="0">
                  <c:v>0</c:v>
                </c:pt>
                <c:pt idx="1" c:formatCode="0.00%">
                  <c:v>0.855000000000001</c:v>
                </c:pt>
                <c:pt idx="2" c:formatCode="0.00%">
                  <c:v>0.145</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83"/>
    <customShpInfo spid="_x0000_s30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34</Pages>
  <Words>2328</Words>
  <Characters>13270</Characters>
  <Lines>110</Lines>
  <Paragraphs>31</Paragraphs>
  <TotalTime>0</TotalTime>
  <ScaleCrop>false</ScaleCrop>
  <LinksUpToDate>false</LinksUpToDate>
  <CharactersWithSpaces>15567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土匪唱情歌</cp:lastModifiedBy>
  <cp:lastPrinted>2023-09-08T22:03:00Z</cp:lastPrinted>
  <dcterms:modified xsi:type="dcterms:W3CDTF">2023-10-18T02:09:38Z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07EF8C3A42AA4CDC977958543419E432_12</vt:lpwstr>
  </property>
</Properties>
</file>