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597"/>
      <w:bookmarkStart w:id="2" w:name="_Toc15378441"/>
      <w:bookmarkStart w:id="3" w:name="_Toc6238"/>
      <w:bookmarkStart w:id="4" w:name="_Toc15377425"/>
      <w:bookmarkStart w:id="5" w:name="_Toc15377193"/>
      <w:bookmarkStart w:id="6" w:name="_Toc1539647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End w:id="6"/>
    </w:p>
    <w:bookmarkEnd w:id="0"/>
    <w:p>
      <w:pPr>
        <w:adjustRightInd w:val="0"/>
        <w:snapToGrid w:val="0"/>
        <w:spacing w:line="360" w:lineRule="auto"/>
        <w:ind w:right="-218" w:rightChars="-104"/>
        <w:jc w:val="center"/>
        <w:outlineLvl w:val="0"/>
        <w:rPr>
          <w:rFonts w:hint="eastAsia" w:ascii="方正小标宋简体" w:hAnsi="方正小标宋简体" w:eastAsia="方正小标宋简体" w:cs="方正小标宋简体"/>
          <w:color w:val="auto"/>
          <w:spacing w:val="-20"/>
          <w:sz w:val="72"/>
          <w:szCs w:val="72"/>
          <w:highlight w:val="none"/>
          <w:lang w:val="zh-CN"/>
        </w:rPr>
      </w:pPr>
      <w:bookmarkStart w:id="7" w:name="_Toc16018"/>
      <w:r>
        <w:rPr>
          <w:rFonts w:hint="eastAsia" w:ascii="方正小标宋简体" w:hAnsi="方正小标宋简体" w:eastAsia="方正小标宋简体" w:cs="方正小标宋简体"/>
          <w:color w:val="auto"/>
          <w:spacing w:val="-20"/>
          <w:sz w:val="72"/>
          <w:szCs w:val="72"/>
          <w:highlight w:val="none"/>
          <w:lang w:val="zh-CN"/>
        </w:rPr>
        <w:t>广元市文化广播电视和旅游局</w:t>
      </w:r>
    </w:p>
    <w:p>
      <w:pPr>
        <w:adjustRightInd w:val="0"/>
        <w:snapToGrid w:val="0"/>
        <w:spacing w:line="360" w:lineRule="auto"/>
        <w:ind w:right="-218" w:rightChars="-104"/>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lang w:val="zh-CN"/>
        </w:rPr>
        <w:t>(本级)单位决算</w:t>
      </w:r>
      <w:bookmarkEnd w:id="7"/>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2"/>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16</w:t>
      </w:r>
      <w:r>
        <w:rPr>
          <w:rFonts w:hint="eastAsia"/>
          <w:color w:val="auto"/>
          <w:highlight w:val="none"/>
        </w:rPr>
        <w:t>日</w:t>
      </w:r>
    </w:p>
    <w:p/>
    <w:sdt>
      <w:sdtPr>
        <w:rPr>
          <w:rFonts w:ascii="宋体" w:hAnsi="宋体" w:eastAsia="宋体" w:cs="Times New Roman"/>
          <w:kern w:val="2"/>
          <w:sz w:val="21"/>
          <w:szCs w:val="24"/>
          <w:lang w:val="en-US" w:eastAsia="zh-CN" w:bidi="ar-SA"/>
        </w:rPr>
        <w:id w:val="147451944"/>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pStyle w:val="2"/>
            <w:tabs>
              <w:tab w:val="right" w:leader="dot" w:pos="8306"/>
              <w:tab w:val="clear" w:pos="8296"/>
            </w:tabs>
            <w:jc w:val="center"/>
          </w:pPr>
          <w:r>
            <w:fldChar w:fldCharType="begin"/>
          </w:r>
          <w:r>
            <w:instrText xml:space="preserve">TOC \o "1-3" \h \u </w:instrText>
          </w:r>
          <w:r>
            <w:fldChar w:fldCharType="separate"/>
          </w:r>
          <w:r>
            <w:rPr>
              <w:rFonts w:hint="eastAsia"/>
              <w:color w:val="auto"/>
              <w:sz w:val="24"/>
              <w:highlight w:val="none"/>
              <w:lang w:eastAsia="zh-CN"/>
            </w:rPr>
            <w:fldChar w:fldCharType="begin"/>
          </w:r>
          <w:r>
            <w:rPr>
              <w:rFonts w:hint="eastAsia"/>
              <w:color w:val="auto"/>
              <w:sz w:val="24"/>
              <w:highlight w:val="none"/>
              <w:lang w:eastAsia="zh-CN"/>
            </w:rPr>
            <w:instrText xml:space="preserve"> HYPERLINK \l _Toc16992 </w:instrText>
          </w:r>
          <w:r>
            <w:rPr>
              <w:rFonts w:hint="eastAsia"/>
              <w:color w:val="auto"/>
              <w:sz w:val="24"/>
              <w:highlight w:val="none"/>
              <w:lang w:eastAsia="zh-CN"/>
            </w:rPr>
            <w:fldChar w:fldCharType="separate"/>
          </w:r>
          <w:r>
            <w:rPr>
              <w:rFonts w:hint="eastAsia"/>
              <w:color w:val="auto"/>
              <w:sz w:val="24"/>
              <w:highlight w:val="none"/>
              <w:lang w:eastAsia="zh-CN"/>
            </w:rPr>
            <w:t>第一部分 单位概况</w:t>
          </w:r>
          <w:bookmarkStart w:id="104" w:name="_GoBack"/>
          <w:bookmarkEnd w:id="104"/>
          <w:r>
            <w:rPr>
              <w:rFonts w:hint="eastAsia"/>
              <w:color w:val="auto"/>
              <w:sz w:val="24"/>
              <w:highlight w:val="none"/>
              <w:lang w:eastAsia="zh-CN"/>
            </w:rPr>
            <w:tab/>
          </w:r>
          <w:r>
            <w:rPr>
              <w:rFonts w:hint="eastAsia"/>
              <w:color w:val="auto"/>
              <w:sz w:val="24"/>
              <w:highlight w:val="none"/>
              <w:lang w:eastAsia="zh-CN"/>
            </w:rPr>
            <w:fldChar w:fldCharType="begin"/>
          </w:r>
          <w:r>
            <w:rPr>
              <w:rFonts w:hint="eastAsia"/>
              <w:color w:val="auto"/>
              <w:sz w:val="24"/>
              <w:highlight w:val="none"/>
              <w:lang w:eastAsia="zh-CN"/>
            </w:rPr>
            <w:instrText xml:space="preserve"> PAGEREF _Toc16992 \h </w:instrText>
          </w:r>
          <w:r>
            <w:rPr>
              <w:rFonts w:hint="eastAsia"/>
              <w:color w:val="auto"/>
              <w:sz w:val="24"/>
              <w:highlight w:val="none"/>
              <w:lang w:eastAsia="zh-CN"/>
            </w:rPr>
            <w:fldChar w:fldCharType="separate"/>
          </w:r>
          <w:r>
            <w:rPr>
              <w:rFonts w:hint="eastAsia"/>
              <w:color w:val="auto"/>
              <w:sz w:val="24"/>
              <w:highlight w:val="none"/>
              <w:lang w:eastAsia="zh-CN"/>
            </w:rPr>
            <w:t>4</w:t>
          </w:r>
          <w:r>
            <w:rPr>
              <w:rFonts w:hint="eastAsia"/>
              <w:color w:val="auto"/>
              <w:sz w:val="24"/>
              <w:highlight w:val="none"/>
              <w:lang w:eastAsia="zh-CN"/>
            </w:rPr>
            <w:fldChar w:fldCharType="end"/>
          </w:r>
          <w:r>
            <w:rPr>
              <w:rFonts w:hint="eastAsia"/>
              <w:color w:val="auto"/>
              <w:sz w:val="24"/>
              <w:highlight w:val="none"/>
              <w:lang w:eastAsia="zh-CN"/>
            </w:rPr>
            <w:fldChar w:fldCharType="end"/>
          </w:r>
        </w:p>
        <w:p>
          <w:pPr>
            <w:pStyle w:val="11"/>
            <w:adjustRightInd w:val="0"/>
            <w:snapToGrid w:val="0"/>
            <w:spacing w:line="440" w:lineRule="exact"/>
            <w:jc w:val="center"/>
            <w:rPr>
              <w:rFonts w:hint="eastAsia"/>
              <w:color w:val="auto"/>
              <w:sz w:val="24"/>
              <w:highlight w:val="none"/>
              <w:lang w:eastAsia="zh-CN"/>
            </w:rPr>
          </w:pPr>
          <w:r>
            <w:rPr>
              <w:rFonts w:hint="eastAsia"/>
              <w:color w:val="auto"/>
              <w:sz w:val="24"/>
              <w:highlight w:val="none"/>
              <w:lang w:eastAsia="zh-CN"/>
            </w:rPr>
            <w:fldChar w:fldCharType="begin"/>
          </w:r>
          <w:r>
            <w:rPr>
              <w:rFonts w:hint="eastAsia"/>
              <w:color w:val="auto"/>
              <w:sz w:val="24"/>
              <w:highlight w:val="none"/>
              <w:lang w:eastAsia="zh-CN"/>
            </w:rPr>
            <w:instrText xml:space="preserve"> HYPERLINK \l _Toc9637 </w:instrText>
          </w:r>
          <w:r>
            <w:rPr>
              <w:rFonts w:hint="eastAsia"/>
              <w:color w:val="auto"/>
              <w:sz w:val="24"/>
              <w:highlight w:val="none"/>
              <w:lang w:eastAsia="zh-CN"/>
            </w:rPr>
            <w:fldChar w:fldCharType="separate"/>
          </w:r>
          <w:r>
            <w:rPr>
              <w:rFonts w:hint="eastAsia"/>
              <w:color w:val="auto"/>
              <w:sz w:val="24"/>
              <w:highlight w:val="none"/>
              <w:lang w:eastAsia="zh-CN"/>
            </w:rPr>
            <w:t>一、主要职责</w:t>
          </w:r>
          <w:r>
            <w:rPr>
              <w:rFonts w:hint="eastAsia"/>
              <w:color w:val="auto"/>
              <w:sz w:val="24"/>
              <w:highlight w:val="none"/>
              <w:lang w:eastAsia="zh-CN"/>
            </w:rPr>
            <w:tab/>
          </w:r>
          <w:r>
            <w:rPr>
              <w:rFonts w:hint="eastAsia"/>
              <w:color w:val="auto"/>
              <w:sz w:val="24"/>
              <w:highlight w:val="none"/>
              <w:lang w:eastAsia="zh-CN"/>
            </w:rPr>
            <w:fldChar w:fldCharType="begin"/>
          </w:r>
          <w:r>
            <w:rPr>
              <w:rFonts w:hint="eastAsia"/>
              <w:color w:val="auto"/>
              <w:sz w:val="24"/>
              <w:highlight w:val="none"/>
              <w:lang w:eastAsia="zh-CN"/>
            </w:rPr>
            <w:instrText xml:space="preserve"> PAGEREF _Toc9637 \h </w:instrText>
          </w:r>
          <w:r>
            <w:rPr>
              <w:rFonts w:hint="eastAsia"/>
              <w:color w:val="auto"/>
              <w:sz w:val="24"/>
              <w:highlight w:val="none"/>
              <w:lang w:eastAsia="zh-CN"/>
            </w:rPr>
            <w:fldChar w:fldCharType="separate"/>
          </w:r>
          <w:r>
            <w:rPr>
              <w:rFonts w:hint="eastAsia"/>
              <w:color w:val="auto"/>
              <w:sz w:val="24"/>
              <w:highlight w:val="none"/>
              <w:lang w:eastAsia="zh-CN"/>
            </w:rPr>
            <w:t>4</w:t>
          </w:r>
          <w:r>
            <w:rPr>
              <w:rFonts w:hint="eastAsia"/>
              <w:color w:val="auto"/>
              <w:sz w:val="24"/>
              <w:highlight w:val="none"/>
              <w:lang w:eastAsia="zh-CN"/>
            </w:rPr>
            <w:fldChar w:fldCharType="end"/>
          </w:r>
          <w:r>
            <w:rPr>
              <w:rFonts w:hint="eastAsia"/>
              <w:color w:val="auto"/>
              <w:sz w:val="24"/>
              <w:highlight w:val="none"/>
              <w:lang w:eastAsia="zh-CN"/>
            </w:rPr>
            <w:fldChar w:fldCharType="end"/>
          </w:r>
        </w:p>
        <w:p>
          <w:pPr>
            <w:pStyle w:val="11"/>
            <w:adjustRightInd w:val="0"/>
            <w:snapToGrid w:val="0"/>
            <w:spacing w:line="440" w:lineRule="exact"/>
            <w:jc w:val="center"/>
          </w:pPr>
          <w:r>
            <w:rPr>
              <w:rFonts w:hint="eastAsia"/>
              <w:color w:val="auto"/>
              <w:sz w:val="24"/>
              <w:highlight w:val="none"/>
              <w:lang w:eastAsia="zh-CN"/>
            </w:rPr>
            <w:fldChar w:fldCharType="begin"/>
          </w:r>
          <w:r>
            <w:rPr>
              <w:rFonts w:hint="eastAsia"/>
              <w:color w:val="auto"/>
              <w:sz w:val="24"/>
              <w:highlight w:val="none"/>
              <w:lang w:eastAsia="zh-CN"/>
            </w:rPr>
            <w:instrText xml:space="preserve"> HYPERLINK \l _Toc25570 </w:instrText>
          </w:r>
          <w:r>
            <w:rPr>
              <w:rFonts w:hint="eastAsia"/>
              <w:color w:val="auto"/>
              <w:sz w:val="24"/>
              <w:highlight w:val="none"/>
              <w:lang w:eastAsia="zh-CN"/>
            </w:rPr>
            <w:fldChar w:fldCharType="separate"/>
          </w:r>
          <w:r>
            <w:rPr>
              <w:rFonts w:hint="eastAsia"/>
              <w:color w:val="auto"/>
              <w:sz w:val="24"/>
              <w:highlight w:val="none"/>
              <w:lang w:val="en-US" w:eastAsia="zh-CN"/>
            </w:rPr>
            <w:t>二、机构设置</w:t>
          </w:r>
          <w:r>
            <w:rPr>
              <w:rFonts w:hint="eastAsia"/>
              <w:color w:val="auto"/>
              <w:sz w:val="24"/>
              <w:highlight w:val="none"/>
              <w:lang w:eastAsia="zh-CN"/>
            </w:rPr>
            <w:tab/>
          </w:r>
          <w:r>
            <w:rPr>
              <w:rFonts w:hint="eastAsia"/>
              <w:color w:val="auto"/>
              <w:sz w:val="24"/>
              <w:highlight w:val="none"/>
              <w:lang w:eastAsia="zh-CN"/>
            </w:rPr>
            <w:fldChar w:fldCharType="begin"/>
          </w:r>
          <w:r>
            <w:rPr>
              <w:rFonts w:hint="eastAsia"/>
              <w:color w:val="auto"/>
              <w:sz w:val="24"/>
              <w:highlight w:val="none"/>
              <w:lang w:eastAsia="zh-CN"/>
            </w:rPr>
            <w:instrText xml:space="preserve"> PAGEREF _Toc25570 \h </w:instrText>
          </w:r>
          <w:r>
            <w:rPr>
              <w:rFonts w:hint="eastAsia"/>
              <w:color w:val="auto"/>
              <w:sz w:val="24"/>
              <w:highlight w:val="none"/>
              <w:lang w:eastAsia="zh-CN"/>
            </w:rPr>
            <w:fldChar w:fldCharType="separate"/>
          </w:r>
          <w:r>
            <w:rPr>
              <w:rFonts w:hint="eastAsia"/>
              <w:color w:val="auto"/>
              <w:sz w:val="24"/>
              <w:highlight w:val="none"/>
              <w:lang w:eastAsia="zh-CN"/>
            </w:rPr>
            <w:t>6</w:t>
          </w:r>
          <w:r>
            <w:rPr>
              <w:rFonts w:hint="eastAsia"/>
              <w:color w:val="auto"/>
              <w:sz w:val="24"/>
              <w:highlight w:val="none"/>
              <w:lang w:eastAsia="zh-CN"/>
            </w:rPr>
            <w:fldChar w:fldCharType="end"/>
          </w:r>
          <w:r>
            <w:rPr>
              <w:rFonts w:hint="eastAsia"/>
              <w:color w:val="auto"/>
              <w:sz w:val="24"/>
              <w:highlight w:val="none"/>
              <w:lang w:eastAsia="zh-CN"/>
            </w:rPr>
            <w:fldChar w:fldCharType="end"/>
          </w:r>
        </w:p>
        <w:p>
          <w:pPr>
            <w:pStyle w:val="2"/>
            <w:tabs>
              <w:tab w:val="right" w:leader="dot" w:pos="8306"/>
              <w:tab w:val="clear" w:pos="8296"/>
            </w:tabs>
            <w:jc w:val="center"/>
            <w:rPr>
              <w:rFonts w:hint="eastAsia"/>
              <w:color w:val="auto"/>
              <w:sz w:val="24"/>
              <w:highlight w:val="none"/>
              <w:lang w:eastAsia="zh-CN"/>
            </w:rPr>
          </w:pPr>
          <w:r>
            <w:rPr>
              <w:rFonts w:hint="eastAsia"/>
              <w:color w:val="auto"/>
              <w:sz w:val="24"/>
              <w:highlight w:val="none"/>
              <w:lang w:eastAsia="zh-CN"/>
            </w:rPr>
            <w:fldChar w:fldCharType="begin"/>
          </w:r>
          <w:r>
            <w:rPr>
              <w:rFonts w:hint="eastAsia"/>
              <w:color w:val="auto"/>
              <w:sz w:val="24"/>
              <w:highlight w:val="none"/>
              <w:lang w:eastAsia="zh-CN"/>
            </w:rPr>
            <w:instrText xml:space="preserve"> HYPERLINK \l _Toc3345 </w:instrText>
          </w:r>
          <w:r>
            <w:rPr>
              <w:rFonts w:hint="eastAsia"/>
              <w:color w:val="auto"/>
              <w:sz w:val="24"/>
              <w:highlight w:val="none"/>
              <w:lang w:eastAsia="zh-CN"/>
            </w:rPr>
            <w:fldChar w:fldCharType="separate"/>
          </w:r>
          <w:r>
            <w:rPr>
              <w:rFonts w:hint="eastAsia"/>
              <w:color w:val="auto"/>
              <w:sz w:val="24"/>
              <w:highlight w:val="none"/>
              <w:lang w:eastAsia="zh-CN"/>
            </w:rPr>
            <w:t xml:space="preserve">第二部分 </w:t>
          </w:r>
          <w:r>
            <w:rPr>
              <w:rFonts w:hint="eastAsia"/>
              <w:color w:val="auto"/>
              <w:sz w:val="24"/>
              <w:highlight w:val="none"/>
              <w:lang w:val="en-US" w:eastAsia="zh-CN"/>
            </w:rPr>
            <w:t>2022年度</w:t>
          </w:r>
          <w:r>
            <w:rPr>
              <w:rFonts w:hint="eastAsia"/>
              <w:color w:val="auto"/>
              <w:sz w:val="24"/>
              <w:highlight w:val="none"/>
              <w:lang w:eastAsia="zh-CN"/>
            </w:rPr>
            <w:t>单位决算情况说明</w:t>
          </w:r>
          <w:r>
            <w:rPr>
              <w:rFonts w:hint="eastAsia"/>
              <w:color w:val="auto"/>
              <w:sz w:val="24"/>
              <w:highlight w:val="none"/>
              <w:lang w:val="en-US" w:eastAsia="zh-CN"/>
            </w:rPr>
            <w:t>...................................</w:t>
          </w:r>
          <w:r>
            <w:rPr>
              <w:rFonts w:hint="eastAsia"/>
              <w:color w:val="auto"/>
              <w:sz w:val="24"/>
              <w:highlight w:val="none"/>
              <w:lang w:eastAsia="zh-CN"/>
            </w:rPr>
            <w:fldChar w:fldCharType="begin"/>
          </w:r>
          <w:r>
            <w:rPr>
              <w:rFonts w:hint="eastAsia"/>
              <w:color w:val="auto"/>
              <w:sz w:val="24"/>
              <w:highlight w:val="none"/>
              <w:lang w:eastAsia="zh-CN"/>
            </w:rPr>
            <w:instrText xml:space="preserve"> PAGEREF _Toc3345 \h </w:instrText>
          </w:r>
          <w:r>
            <w:rPr>
              <w:rFonts w:hint="eastAsia"/>
              <w:color w:val="auto"/>
              <w:sz w:val="24"/>
              <w:highlight w:val="none"/>
              <w:lang w:eastAsia="zh-CN"/>
            </w:rPr>
            <w:fldChar w:fldCharType="separate"/>
          </w:r>
          <w:r>
            <w:rPr>
              <w:rFonts w:hint="eastAsia"/>
              <w:color w:val="auto"/>
              <w:sz w:val="24"/>
              <w:highlight w:val="none"/>
              <w:lang w:eastAsia="zh-CN"/>
            </w:rPr>
            <w:t>6</w:t>
          </w:r>
          <w:r>
            <w:rPr>
              <w:rFonts w:hint="eastAsia"/>
              <w:color w:val="auto"/>
              <w:sz w:val="24"/>
              <w:highlight w:val="none"/>
              <w:lang w:eastAsia="zh-CN"/>
            </w:rPr>
            <w:fldChar w:fldCharType="end"/>
          </w:r>
          <w:r>
            <w:rPr>
              <w:rFonts w:hint="eastAsia"/>
              <w:color w:val="auto"/>
              <w:sz w:val="24"/>
              <w:highlight w:val="none"/>
              <w:lang w:eastAsia="zh-CN"/>
            </w:rPr>
            <w:fldChar w:fldCharType="end"/>
          </w:r>
        </w:p>
        <w:p>
          <w:pPr>
            <w:pStyle w:val="11"/>
            <w:adjustRightInd w:val="0"/>
            <w:snapToGrid w:val="0"/>
            <w:spacing w:line="440" w:lineRule="exact"/>
            <w:jc w:val="center"/>
            <w:rPr>
              <w:rFonts w:hint="eastAsia"/>
              <w:color w:val="auto"/>
              <w:sz w:val="24"/>
              <w:highlight w:val="none"/>
              <w:lang w:val="en-US" w:eastAsia="zh-CN"/>
            </w:rPr>
          </w:pP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HYPERLINK \l _Toc18928 </w:instrText>
          </w:r>
          <w:r>
            <w:rPr>
              <w:rFonts w:hint="eastAsia"/>
              <w:color w:val="auto"/>
              <w:sz w:val="24"/>
              <w:highlight w:val="none"/>
              <w:lang w:val="en-US" w:eastAsia="zh-CN"/>
            </w:rPr>
            <w:fldChar w:fldCharType="separate"/>
          </w:r>
          <w:r>
            <w:rPr>
              <w:rFonts w:hint="default"/>
              <w:color w:val="auto"/>
              <w:sz w:val="24"/>
              <w:highlight w:val="none"/>
              <w:lang w:val="en-US" w:eastAsia="zh-CN"/>
            </w:rPr>
            <w:t>一、</w:t>
          </w:r>
          <w:r>
            <w:rPr>
              <w:rFonts w:hint="eastAsia"/>
              <w:color w:val="auto"/>
              <w:sz w:val="24"/>
              <w:highlight w:val="none"/>
              <w:lang w:val="en-US" w:eastAsia="zh-CN"/>
            </w:rPr>
            <w:t>收入支出决算总体情况说明</w:t>
          </w:r>
          <w:r>
            <w:rPr>
              <w:rFonts w:hint="eastAsia"/>
              <w:color w:val="auto"/>
              <w:sz w:val="24"/>
              <w:highlight w:val="none"/>
              <w:lang w:val="en-US" w:eastAsia="zh-CN"/>
            </w:rPr>
            <w:tab/>
          </w: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PAGEREF _Toc18928 \h </w:instrText>
          </w:r>
          <w:r>
            <w:rPr>
              <w:rFonts w:hint="eastAsia"/>
              <w:color w:val="auto"/>
              <w:sz w:val="24"/>
              <w:highlight w:val="none"/>
              <w:lang w:val="en-US" w:eastAsia="zh-CN"/>
            </w:rPr>
            <w:fldChar w:fldCharType="separate"/>
          </w:r>
          <w:r>
            <w:rPr>
              <w:rFonts w:hint="eastAsia"/>
              <w:color w:val="auto"/>
              <w:sz w:val="24"/>
              <w:highlight w:val="none"/>
              <w:lang w:val="en-US" w:eastAsia="zh-CN"/>
            </w:rPr>
            <w:t>6</w:t>
          </w:r>
          <w:r>
            <w:rPr>
              <w:rFonts w:hint="eastAsia"/>
              <w:color w:val="auto"/>
              <w:sz w:val="24"/>
              <w:highlight w:val="none"/>
              <w:lang w:val="en-US" w:eastAsia="zh-CN"/>
            </w:rPr>
            <w:fldChar w:fldCharType="end"/>
          </w:r>
          <w:r>
            <w:rPr>
              <w:rFonts w:hint="eastAsia"/>
              <w:color w:val="auto"/>
              <w:sz w:val="24"/>
              <w:highlight w:val="none"/>
              <w:lang w:val="en-US" w:eastAsia="zh-CN"/>
            </w:rPr>
            <w:fldChar w:fldCharType="end"/>
          </w:r>
        </w:p>
        <w:p>
          <w:pPr>
            <w:pStyle w:val="11"/>
            <w:adjustRightInd w:val="0"/>
            <w:snapToGrid w:val="0"/>
            <w:spacing w:line="440" w:lineRule="exact"/>
            <w:jc w:val="center"/>
            <w:rPr>
              <w:rFonts w:hint="eastAsia"/>
              <w:color w:val="auto"/>
              <w:sz w:val="24"/>
              <w:highlight w:val="none"/>
              <w:lang w:val="en-US" w:eastAsia="zh-CN"/>
            </w:rPr>
          </w:pP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HYPERLINK \l _Toc25406 </w:instrText>
          </w:r>
          <w:r>
            <w:rPr>
              <w:rFonts w:hint="eastAsia"/>
              <w:color w:val="auto"/>
              <w:sz w:val="24"/>
              <w:highlight w:val="none"/>
              <w:lang w:val="en-US" w:eastAsia="zh-CN"/>
            </w:rPr>
            <w:fldChar w:fldCharType="separate"/>
          </w:r>
          <w:r>
            <w:rPr>
              <w:rFonts w:hint="default"/>
              <w:color w:val="auto"/>
              <w:sz w:val="24"/>
              <w:highlight w:val="none"/>
              <w:lang w:val="en-US" w:eastAsia="zh-CN"/>
            </w:rPr>
            <w:t>二、</w:t>
          </w:r>
          <w:r>
            <w:rPr>
              <w:rFonts w:hint="eastAsia"/>
              <w:color w:val="auto"/>
              <w:sz w:val="24"/>
              <w:highlight w:val="none"/>
              <w:lang w:val="en-US" w:eastAsia="zh-CN"/>
            </w:rPr>
            <w:t>收入决算情况说明</w:t>
          </w:r>
          <w:r>
            <w:rPr>
              <w:rFonts w:hint="eastAsia"/>
              <w:color w:val="auto"/>
              <w:sz w:val="24"/>
              <w:highlight w:val="none"/>
              <w:lang w:val="en-US" w:eastAsia="zh-CN"/>
            </w:rPr>
            <w:tab/>
          </w: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PAGEREF _Toc25406 \h </w:instrText>
          </w:r>
          <w:r>
            <w:rPr>
              <w:rFonts w:hint="eastAsia"/>
              <w:color w:val="auto"/>
              <w:sz w:val="24"/>
              <w:highlight w:val="none"/>
              <w:lang w:val="en-US" w:eastAsia="zh-CN"/>
            </w:rPr>
            <w:fldChar w:fldCharType="separate"/>
          </w:r>
          <w:r>
            <w:rPr>
              <w:rFonts w:hint="eastAsia"/>
              <w:color w:val="auto"/>
              <w:sz w:val="24"/>
              <w:highlight w:val="none"/>
              <w:lang w:val="en-US" w:eastAsia="zh-CN"/>
            </w:rPr>
            <w:t>7</w:t>
          </w:r>
          <w:r>
            <w:rPr>
              <w:rFonts w:hint="eastAsia"/>
              <w:color w:val="auto"/>
              <w:sz w:val="24"/>
              <w:highlight w:val="none"/>
              <w:lang w:val="en-US" w:eastAsia="zh-CN"/>
            </w:rPr>
            <w:fldChar w:fldCharType="end"/>
          </w:r>
          <w:r>
            <w:rPr>
              <w:rFonts w:hint="eastAsia"/>
              <w:color w:val="auto"/>
              <w:sz w:val="24"/>
              <w:highlight w:val="none"/>
              <w:lang w:val="en-US" w:eastAsia="zh-CN"/>
            </w:rPr>
            <w:fldChar w:fldCharType="end"/>
          </w:r>
        </w:p>
        <w:p>
          <w:pPr>
            <w:pStyle w:val="11"/>
            <w:adjustRightInd w:val="0"/>
            <w:snapToGrid w:val="0"/>
            <w:spacing w:line="440" w:lineRule="exact"/>
            <w:jc w:val="center"/>
            <w:rPr>
              <w:rFonts w:hint="eastAsia"/>
              <w:color w:val="auto"/>
              <w:sz w:val="24"/>
              <w:highlight w:val="none"/>
              <w:lang w:val="en-US" w:eastAsia="zh-CN"/>
            </w:rPr>
          </w:pP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HYPERLINK \l _Toc8593 </w:instrText>
          </w:r>
          <w:r>
            <w:rPr>
              <w:rFonts w:hint="eastAsia"/>
              <w:color w:val="auto"/>
              <w:sz w:val="24"/>
              <w:highlight w:val="none"/>
              <w:lang w:val="en-US" w:eastAsia="zh-CN"/>
            </w:rPr>
            <w:fldChar w:fldCharType="separate"/>
          </w:r>
          <w:r>
            <w:rPr>
              <w:rFonts w:hint="default"/>
              <w:color w:val="auto"/>
              <w:sz w:val="24"/>
              <w:highlight w:val="none"/>
              <w:lang w:val="en-US" w:eastAsia="zh-CN"/>
            </w:rPr>
            <w:t>三、</w:t>
          </w:r>
          <w:r>
            <w:rPr>
              <w:rFonts w:hint="eastAsia"/>
              <w:color w:val="auto"/>
              <w:sz w:val="24"/>
              <w:highlight w:val="none"/>
              <w:lang w:val="en-US" w:eastAsia="zh-CN"/>
            </w:rPr>
            <w:t>支出决算情况说明</w:t>
          </w:r>
          <w:r>
            <w:rPr>
              <w:rFonts w:hint="eastAsia"/>
              <w:color w:val="auto"/>
              <w:sz w:val="24"/>
              <w:highlight w:val="none"/>
              <w:lang w:val="en-US" w:eastAsia="zh-CN"/>
            </w:rPr>
            <w:tab/>
          </w: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PAGEREF _Toc8593 \h </w:instrText>
          </w:r>
          <w:r>
            <w:rPr>
              <w:rFonts w:hint="eastAsia"/>
              <w:color w:val="auto"/>
              <w:sz w:val="24"/>
              <w:highlight w:val="none"/>
              <w:lang w:val="en-US" w:eastAsia="zh-CN"/>
            </w:rPr>
            <w:fldChar w:fldCharType="separate"/>
          </w:r>
          <w:r>
            <w:rPr>
              <w:rFonts w:hint="eastAsia"/>
              <w:color w:val="auto"/>
              <w:sz w:val="24"/>
              <w:highlight w:val="none"/>
              <w:lang w:val="en-US" w:eastAsia="zh-CN"/>
            </w:rPr>
            <w:t>8</w:t>
          </w:r>
          <w:r>
            <w:rPr>
              <w:rFonts w:hint="eastAsia"/>
              <w:color w:val="auto"/>
              <w:sz w:val="24"/>
              <w:highlight w:val="none"/>
              <w:lang w:val="en-US" w:eastAsia="zh-CN"/>
            </w:rPr>
            <w:fldChar w:fldCharType="end"/>
          </w:r>
          <w:r>
            <w:rPr>
              <w:rFonts w:hint="eastAsia"/>
              <w:color w:val="auto"/>
              <w:sz w:val="24"/>
              <w:highlight w:val="none"/>
              <w:lang w:val="en-US" w:eastAsia="zh-CN"/>
            </w:rPr>
            <w:fldChar w:fldCharType="end"/>
          </w:r>
        </w:p>
        <w:p>
          <w:pPr>
            <w:pStyle w:val="11"/>
            <w:adjustRightInd w:val="0"/>
            <w:snapToGrid w:val="0"/>
            <w:spacing w:line="440" w:lineRule="exact"/>
            <w:jc w:val="center"/>
            <w:rPr>
              <w:rFonts w:hint="eastAsia"/>
              <w:color w:val="auto"/>
              <w:sz w:val="24"/>
              <w:highlight w:val="none"/>
              <w:lang w:val="en-US" w:eastAsia="zh-CN"/>
            </w:rPr>
          </w:pP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HYPERLINK \l _Toc17206 </w:instrText>
          </w:r>
          <w:r>
            <w:rPr>
              <w:rFonts w:hint="eastAsia"/>
              <w:color w:val="auto"/>
              <w:sz w:val="24"/>
              <w:highlight w:val="none"/>
              <w:lang w:val="en-US" w:eastAsia="zh-CN"/>
            </w:rPr>
            <w:fldChar w:fldCharType="separate"/>
          </w:r>
          <w:r>
            <w:rPr>
              <w:rFonts w:hint="eastAsia"/>
              <w:color w:val="auto"/>
              <w:sz w:val="24"/>
              <w:highlight w:val="none"/>
              <w:lang w:val="en-US" w:eastAsia="zh-CN"/>
            </w:rPr>
            <w:t>四、财政拨款收入支出决算总体情况说明</w:t>
          </w:r>
          <w:r>
            <w:rPr>
              <w:rFonts w:hint="eastAsia"/>
              <w:color w:val="auto"/>
              <w:sz w:val="24"/>
              <w:highlight w:val="none"/>
              <w:lang w:val="en-US" w:eastAsia="zh-CN"/>
            </w:rPr>
            <w:tab/>
          </w: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PAGEREF _Toc17206 \h </w:instrText>
          </w:r>
          <w:r>
            <w:rPr>
              <w:rFonts w:hint="eastAsia"/>
              <w:color w:val="auto"/>
              <w:sz w:val="24"/>
              <w:highlight w:val="none"/>
              <w:lang w:val="en-US" w:eastAsia="zh-CN"/>
            </w:rPr>
            <w:fldChar w:fldCharType="separate"/>
          </w:r>
          <w:r>
            <w:rPr>
              <w:rFonts w:hint="eastAsia"/>
              <w:color w:val="auto"/>
              <w:sz w:val="24"/>
              <w:highlight w:val="none"/>
              <w:lang w:val="en-US" w:eastAsia="zh-CN"/>
            </w:rPr>
            <w:t>8</w:t>
          </w:r>
          <w:r>
            <w:rPr>
              <w:rFonts w:hint="eastAsia"/>
              <w:color w:val="auto"/>
              <w:sz w:val="24"/>
              <w:highlight w:val="none"/>
              <w:lang w:val="en-US" w:eastAsia="zh-CN"/>
            </w:rPr>
            <w:fldChar w:fldCharType="end"/>
          </w:r>
          <w:r>
            <w:rPr>
              <w:rFonts w:hint="eastAsia"/>
              <w:color w:val="auto"/>
              <w:sz w:val="24"/>
              <w:highlight w:val="none"/>
              <w:lang w:val="en-US" w:eastAsia="zh-CN"/>
            </w:rPr>
            <w:fldChar w:fldCharType="end"/>
          </w:r>
        </w:p>
        <w:p>
          <w:pPr>
            <w:pStyle w:val="11"/>
            <w:adjustRightInd w:val="0"/>
            <w:snapToGrid w:val="0"/>
            <w:spacing w:line="440" w:lineRule="exact"/>
            <w:jc w:val="center"/>
            <w:rPr>
              <w:rFonts w:hint="eastAsia"/>
              <w:color w:val="auto"/>
              <w:sz w:val="24"/>
              <w:highlight w:val="none"/>
              <w:lang w:val="en-US" w:eastAsia="zh-CN"/>
            </w:rPr>
          </w:pP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HYPERLINK \l _Toc10341 </w:instrText>
          </w:r>
          <w:r>
            <w:rPr>
              <w:rFonts w:hint="eastAsia"/>
              <w:color w:val="auto"/>
              <w:sz w:val="24"/>
              <w:highlight w:val="none"/>
              <w:lang w:val="en-US" w:eastAsia="zh-CN"/>
            </w:rPr>
            <w:fldChar w:fldCharType="separate"/>
          </w:r>
          <w:r>
            <w:rPr>
              <w:rFonts w:hint="eastAsia"/>
              <w:color w:val="auto"/>
              <w:sz w:val="24"/>
              <w:highlight w:val="none"/>
              <w:lang w:val="en-US" w:eastAsia="zh-CN"/>
            </w:rPr>
            <w:t>五、一般公共预算财政拨款支出决算情况说明</w:t>
          </w:r>
          <w:r>
            <w:rPr>
              <w:rFonts w:hint="eastAsia"/>
              <w:color w:val="auto"/>
              <w:sz w:val="24"/>
              <w:highlight w:val="none"/>
              <w:lang w:val="en-US" w:eastAsia="zh-CN"/>
            </w:rPr>
            <w:tab/>
          </w: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PAGEREF _Toc10341 \h </w:instrText>
          </w:r>
          <w:r>
            <w:rPr>
              <w:rFonts w:hint="eastAsia"/>
              <w:color w:val="auto"/>
              <w:sz w:val="24"/>
              <w:highlight w:val="none"/>
              <w:lang w:val="en-US" w:eastAsia="zh-CN"/>
            </w:rPr>
            <w:fldChar w:fldCharType="separate"/>
          </w:r>
          <w:r>
            <w:rPr>
              <w:rFonts w:hint="eastAsia"/>
              <w:color w:val="auto"/>
              <w:sz w:val="24"/>
              <w:highlight w:val="none"/>
              <w:lang w:val="en-US" w:eastAsia="zh-CN"/>
            </w:rPr>
            <w:t>9</w:t>
          </w:r>
          <w:r>
            <w:rPr>
              <w:rFonts w:hint="eastAsia"/>
              <w:color w:val="auto"/>
              <w:sz w:val="24"/>
              <w:highlight w:val="none"/>
              <w:lang w:val="en-US" w:eastAsia="zh-CN"/>
            </w:rPr>
            <w:fldChar w:fldCharType="end"/>
          </w:r>
          <w:r>
            <w:rPr>
              <w:rFonts w:hint="eastAsia"/>
              <w:color w:val="auto"/>
              <w:sz w:val="24"/>
              <w:highlight w:val="none"/>
              <w:lang w:val="en-US" w:eastAsia="zh-CN"/>
            </w:rPr>
            <w:fldChar w:fldCharType="end"/>
          </w:r>
        </w:p>
        <w:p>
          <w:pPr>
            <w:pStyle w:val="11"/>
            <w:adjustRightInd w:val="0"/>
            <w:snapToGrid w:val="0"/>
            <w:spacing w:line="440" w:lineRule="exact"/>
            <w:jc w:val="center"/>
            <w:rPr>
              <w:rFonts w:hint="eastAsia"/>
              <w:color w:val="auto"/>
              <w:sz w:val="24"/>
              <w:highlight w:val="none"/>
              <w:lang w:val="en-US" w:eastAsia="zh-CN"/>
            </w:rPr>
          </w:pP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HYPERLINK \l _Toc10921 </w:instrText>
          </w:r>
          <w:r>
            <w:rPr>
              <w:rFonts w:hint="eastAsia"/>
              <w:color w:val="auto"/>
              <w:sz w:val="24"/>
              <w:highlight w:val="none"/>
              <w:lang w:val="en-US" w:eastAsia="zh-CN"/>
            </w:rPr>
            <w:fldChar w:fldCharType="separate"/>
          </w:r>
          <w:r>
            <w:rPr>
              <w:rFonts w:hint="eastAsia"/>
              <w:color w:val="auto"/>
              <w:sz w:val="24"/>
              <w:highlight w:val="none"/>
              <w:lang w:val="en-US" w:eastAsia="zh-CN"/>
            </w:rPr>
            <w:t>六、一般公共预算财政拨款基本支出决算情况说明</w:t>
          </w:r>
          <w:r>
            <w:rPr>
              <w:rFonts w:hint="eastAsia"/>
              <w:color w:val="auto"/>
              <w:sz w:val="24"/>
              <w:highlight w:val="none"/>
              <w:lang w:val="en-US" w:eastAsia="zh-CN"/>
            </w:rPr>
            <w:tab/>
          </w: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PAGEREF _Toc10921 \h </w:instrText>
          </w:r>
          <w:r>
            <w:rPr>
              <w:rFonts w:hint="eastAsia"/>
              <w:color w:val="auto"/>
              <w:sz w:val="24"/>
              <w:highlight w:val="none"/>
              <w:lang w:val="en-US" w:eastAsia="zh-CN"/>
            </w:rPr>
            <w:fldChar w:fldCharType="separate"/>
          </w:r>
          <w:r>
            <w:rPr>
              <w:rFonts w:hint="eastAsia"/>
              <w:color w:val="auto"/>
              <w:sz w:val="24"/>
              <w:highlight w:val="none"/>
              <w:lang w:val="en-US" w:eastAsia="zh-CN"/>
            </w:rPr>
            <w:t>12</w:t>
          </w:r>
          <w:r>
            <w:rPr>
              <w:rFonts w:hint="eastAsia"/>
              <w:color w:val="auto"/>
              <w:sz w:val="24"/>
              <w:highlight w:val="none"/>
              <w:lang w:val="en-US" w:eastAsia="zh-CN"/>
            </w:rPr>
            <w:fldChar w:fldCharType="end"/>
          </w:r>
          <w:r>
            <w:rPr>
              <w:rFonts w:hint="eastAsia"/>
              <w:color w:val="auto"/>
              <w:sz w:val="24"/>
              <w:highlight w:val="none"/>
              <w:lang w:val="en-US" w:eastAsia="zh-CN"/>
            </w:rPr>
            <w:fldChar w:fldCharType="end"/>
          </w:r>
        </w:p>
        <w:p>
          <w:pPr>
            <w:pStyle w:val="11"/>
            <w:adjustRightInd w:val="0"/>
            <w:snapToGrid w:val="0"/>
            <w:spacing w:line="440" w:lineRule="exact"/>
            <w:jc w:val="center"/>
            <w:rPr>
              <w:rFonts w:hint="eastAsia"/>
              <w:color w:val="auto"/>
              <w:sz w:val="24"/>
              <w:highlight w:val="none"/>
              <w:lang w:val="en-US" w:eastAsia="zh-CN"/>
            </w:rPr>
          </w:pP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HYPERLINK \l _Toc116 </w:instrText>
          </w:r>
          <w:r>
            <w:rPr>
              <w:rFonts w:hint="eastAsia"/>
              <w:color w:val="auto"/>
              <w:sz w:val="24"/>
              <w:highlight w:val="none"/>
              <w:lang w:val="en-US" w:eastAsia="zh-CN"/>
            </w:rPr>
            <w:fldChar w:fldCharType="separate"/>
          </w:r>
          <w:r>
            <w:rPr>
              <w:rFonts w:hint="eastAsia"/>
              <w:color w:val="auto"/>
              <w:sz w:val="24"/>
              <w:highlight w:val="none"/>
              <w:lang w:val="en-US" w:eastAsia="zh-CN"/>
            </w:rPr>
            <w:t>七、财政拨款“三公”经费支出决算情况说明</w:t>
          </w:r>
          <w:r>
            <w:rPr>
              <w:rFonts w:hint="eastAsia"/>
              <w:color w:val="auto"/>
              <w:sz w:val="24"/>
              <w:highlight w:val="none"/>
              <w:lang w:val="en-US" w:eastAsia="zh-CN"/>
            </w:rPr>
            <w:tab/>
          </w: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PAGEREF _Toc116 \h </w:instrText>
          </w:r>
          <w:r>
            <w:rPr>
              <w:rFonts w:hint="eastAsia"/>
              <w:color w:val="auto"/>
              <w:sz w:val="24"/>
              <w:highlight w:val="none"/>
              <w:lang w:val="en-US" w:eastAsia="zh-CN"/>
            </w:rPr>
            <w:fldChar w:fldCharType="separate"/>
          </w:r>
          <w:r>
            <w:rPr>
              <w:rFonts w:hint="eastAsia"/>
              <w:color w:val="auto"/>
              <w:sz w:val="24"/>
              <w:highlight w:val="none"/>
              <w:lang w:val="en-US" w:eastAsia="zh-CN"/>
            </w:rPr>
            <w:t>13</w:t>
          </w:r>
          <w:r>
            <w:rPr>
              <w:rFonts w:hint="eastAsia"/>
              <w:color w:val="auto"/>
              <w:sz w:val="24"/>
              <w:highlight w:val="none"/>
              <w:lang w:val="en-US" w:eastAsia="zh-CN"/>
            </w:rPr>
            <w:fldChar w:fldCharType="end"/>
          </w:r>
          <w:r>
            <w:rPr>
              <w:rFonts w:hint="eastAsia"/>
              <w:color w:val="auto"/>
              <w:sz w:val="24"/>
              <w:highlight w:val="none"/>
              <w:lang w:val="en-US" w:eastAsia="zh-CN"/>
            </w:rPr>
            <w:fldChar w:fldCharType="end"/>
          </w:r>
        </w:p>
        <w:p>
          <w:pPr>
            <w:pStyle w:val="11"/>
            <w:adjustRightInd w:val="0"/>
            <w:snapToGrid w:val="0"/>
            <w:spacing w:line="440" w:lineRule="exact"/>
            <w:jc w:val="center"/>
            <w:rPr>
              <w:rFonts w:hint="eastAsia"/>
              <w:color w:val="auto"/>
              <w:sz w:val="24"/>
              <w:highlight w:val="none"/>
              <w:lang w:val="en-US" w:eastAsia="zh-CN"/>
            </w:rPr>
          </w:pP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HYPERLINK \l _Toc25229 </w:instrText>
          </w:r>
          <w:r>
            <w:rPr>
              <w:rFonts w:hint="eastAsia"/>
              <w:color w:val="auto"/>
              <w:sz w:val="24"/>
              <w:highlight w:val="none"/>
              <w:lang w:val="en-US" w:eastAsia="zh-CN"/>
            </w:rPr>
            <w:fldChar w:fldCharType="separate"/>
          </w:r>
          <w:r>
            <w:rPr>
              <w:rFonts w:hint="eastAsia"/>
              <w:color w:val="auto"/>
              <w:sz w:val="24"/>
              <w:highlight w:val="none"/>
              <w:lang w:val="en-US" w:eastAsia="zh-CN"/>
            </w:rPr>
            <w:t>八、政府性基金预算支出决算情况说明</w:t>
          </w:r>
          <w:r>
            <w:rPr>
              <w:rFonts w:hint="eastAsia"/>
              <w:color w:val="auto"/>
              <w:sz w:val="24"/>
              <w:highlight w:val="none"/>
              <w:lang w:val="en-US" w:eastAsia="zh-CN"/>
            </w:rPr>
            <w:tab/>
          </w: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PAGEREF _Toc25229 \h </w:instrText>
          </w:r>
          <w:r>
            <w:rPr>
              <w:rFonts w:hint="eastAsia"/>
              <w:color w:val="auto"/>
              <w:sz w:val="24"/>
              <w:highlight w:val="none"/>
              <w:lang w:val="en-US" w:eastAsia="zh-CN"/>
            </w:rPr>
            <w:fldChar w:fldCharType="separate"/>
          </w:r>
          <w:r>
            <w:rPr>
              <w:rFonts w:hint="eastAsia"/>
              <w:color w:val="auto"/>
              <w:sz w:val="24"/>
              <w:highlight w:val="none"/>
              <w:lang w:val="en-US" w:eastAsia="zh-CN"/>
            </w:rPr>
            <w:t>15</w:t>
          </w:r>
          <w:r>
            <w:rPr>
              <w:rFonts w:hint="eastAsia"/>
              <w:color w:val="auto"/>
              <w:sz w:val="24"/>
              <w:highlight w:val="none"/>
              <w:lang w:val="en-US" w:eastAsia="zh-CN"/>
            </w:rPr>
            <w:fldChar w:fldCharType="end"/>
          </w:r>
          <w:r>
            <w:rPr>
              <w:rFonts w:hint="eastAsia"/>
              <w:color w:val="auto"/>
              <w:sz w:val="24"/>
              <w:highlight w:val="none"/>
              <w:lang w:val="en-US" w:eastAsia="zh-CN"/>
            </w:rPr>
            <w:fldChar w:fldCharType="end"/>
          </w:r>
        </w:p>
        <w:p>
          <w:pPr>
            <w:pStyle w:val="11"/>
            <w:adjustRightInd w:val="0"/>
            <w:snapToGrid w:val="0"/>
            <w:spacing w:line="440" w:lineRule="exact"/>
            <w:jc w:val="center"/>
            <w:rPr>
              <w:rFonts w:hint="eastAsia"/>
              <w:color w:val="auto"/>
              <w:sz w:val="24"/>
              <w:highlight w:val="none"/>
              <w:lang w:val="en-US" w:eastAsia="zh-CN"/>
            </w:rPr>
          </w:pP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HYPERLINK \l _Toc15723 </w:instrText>
          </w:r>
          <w:r>
            <w:rPr>
              <w:rFonts w:hint="eastAsia"/>
              <w:color w:val="auto"/>
              <w:sz w:val="24"/>
              <w:highlight w:val="none"/>
              <w:lang w:val="en-US" w:eastAsia="zh-CN"/>
            </w:rPr>
            <w:fldChar w:fldCharType="separate"/>
          </w:r>
          <w:r>
            <w:rPr>
              <w:rFonts w:hint="eastAsia"/>
              <w:color w:val="auto"/>
              <w:sz w:val="24"/>
              <w:highlight w:val="none"/>
              <w:lang w:val="en-US" w:eastAsia="zh-CN"/>
            </w:rPr>
            <w:t>九、国有资本经营预算支出决算情况说明</w:t>
          </w:r>
          <w:r>
            <w:rPr>
              <w:rFonts w:hint="eastAsia"/>
              <w:color w:val="auto"/>
              <w:sz w:val="24"/>
              <w:highlight w:val="none"/>
              <w:lang w:val="en-US" w:eastAsia="zh-CN"/>
            </w:rPr>
            <w:tab/>
          </w: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PAGEREF _Toc15723 \h </w:instrText>
          </w:r>
          <w:r>
            <w:rPr>
              <w:rFonts w:hint="eastAsia"/>
              <w:color w:val="auto"/>
              <w:sz w:val="24"/>
              <w:highlight w:val="none"/>
              <w:lang w:val="en-US" w:eastAsia="zh-CN"/>
            </w:rPr>
            <w:fldChar w:fldCharType="separate"/>
          </w:r>
          <w:r>
            <w:rPr>
              <w:rFonts w:hint="eastAsia"/>
              <w:color w:val="auto"/>
              <w:sz w:val="24"/>
              <w:highlight w:val="none"/>
              <w:lang w:val="en-US" w:eastAsia="zh-CN"/>
            </w:rPr>
            <w:t>15</w:t>
          </w:r>
          <w:r>
            <w:rPr>
              <w:rFonts w:hint="eastAsia"/>
              <w:color w:val="auto"/>
              <w:sz w:val="24"/>
              <w:highlight w:val="none"/>
              <w:lang w:val="en-US" w:eastAsia="zh-CN"/>
            </w:rPr>
            <w:fldChar w:fldCharType="end"/>
          </w:r>
          <w:r>
            <w:rPr>
              <w:rFonts w:hint="eastAsia"/>
              <w:color w:val="auto"/>
              <w:sz w:val="24"/>
              <w:highlight w:val="none"/>
              <w:lang w:val="en-US" w:eastAsia="zh-CN"/>
            </w:rPr>
            <w:fldChar w:fldCharType="end"/>
          </w:r>
        </w:p>
        <w:p>
          <w:pPr>
            <w:pStyle w:val="11"/>
            <w:adjustRightInd w:val="0"/>
            <w:snapToGrid w:val="0"/>
            <w:spacing w:line="440" w:lineRule="exact"/>
            <w:jc w:val="center"/>
          </w:pP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HYPERLINK \l _Toc8481 </w:instrText>
          </w:r>
          <w:r>
            <w:rPr>
              <w:rFonts w:hint="eastAsia"/>
              <w:color w:val="auto"/>
              <w:sz w:val="24"/>
              <w:highlight w:val="none"/>
              <w:lang w:val="en-US" w:eastAsia="zh-CN"/>
            </w:rPr>
            <w:fldChar w:fldCharType="separate"/>
          </w:r>
          <w:r>
            <w:rPr>
              <w:rFonts w:hint="eastAsia"/>
              <w:color w:val="auto"/>
              <w:sz w:val="24"/>
              <w:highlight w:val="none"/>
              <w:lang w:val="en-US" w:eastAsia="zh-CN"/>
            </w:rPr>
            <w:t>十、其他重要事项的情况说明</w:t>
          </w:r>
          <w:r>
            <w:rPr>
              <w:rFonts w:hint="eastAsia"/>
              <w:color w:val="auto"/>
              <w:sz w:val="24"/>
              <w:highlight w:val="none"/>
              <w:lang w:val="en-US" w:eastAsia="zh-CN"/>
            </w:rPr>
            <w:tab/>
          </w: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PAGEREF _Toc8481 \h </w:instrText>
          </w:r>
          <w:r>
            <w:rPr>
              <w:rFonts w:hint="eastAsia"/>
              <w:color w:val="auto"/>
              <w:sz w:val="24"/>
              <w:highlight w:val="none"/>
              <w:lang w:val="en-US" w:eastAsia="zh-CN"/>
            </w:rPr>
            <w:fldChar w:fldCharType="separate"/>
          </w:r>
          <w:r>
            <w:rPr>
              <w:rFonts w:hint="eastAsia"/>
              <w:color w:val="auto"/>
              <w:sz w:val="24"/>
              <w:highlight w:val="none"/>
              <w:lang w:val="en-US" w:eastAsia="zh-CN"/>
            </w:rPr>
            <w:t>15</w:t>
          </w:r>
          <w:r>
            <w:rPr>
              <w:rFonts w:hint="eastAsia"/>
              <w:color w:val="auto"/>
              <w:sz w:val="24"/>
              <w:highlight w:val="none"/>
              <w:lang w:val="en-US" w:eastAsia="zh-CN"/>
            </w:rPr>
            <w:fldChar w:fldCharType="end"/>
          </w:r>
          <w:r>
            <w:rPr>
              <w:rFonts w:hint="eastAsia"/>
              <w:color w:val="auto"/>
              <w:sz w:val="24"/>
              <w:highlight w:val="none"/>
              <w:lang w:val="en-US" w:eastAsia="zh-CN"/>
            </w:rPr>
            <w:fldChar w:fldCharType="end"/>
          </w:r>
        </w:p>
        <w:p>
          <w:pPr>
            <w:pStyle w:val="2"/>
            <w:tabs>
              <w:tab w:val="right" w:leader="dot" w:pos="8306"/>
              <w:tab w:val="clear" w:pos="8296"/>
            </w:tabs>
            <w:jc w:val="center"/>
            <w:rPr>
              <w:rFonts w:hint="eastAsia"/>
              <w:color w:val="auto"/>
              <w:sz w:val="24"/>
              <w:highlight w:val="none"/>
              <w:lang w:val="en-US" w:eastAsia="zh-CN"/>
            </w:rPr>
          </w:pP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HYPERLINK \l _Toc2042 </w:instrText>
          </w:r>
          <w:r>
            <w:rPr>
              <w:rFonts w:hint="eastAsia"/>
              <w:color w:val="auto"/>
              <w:sz w:val="24"/>
              <w:highlight w:val="none"/>
              <w:lang w:val="en-US" w:eastAsia="zh-CN"/>
            </w:rPr>
            <w:fldChar w:fldCharType="separate"/>
          </w:r>
          <w:r>
            <w:rPr>
              <w:rFonts w:hint="eastAsia"/>
              <w:color w:val="auto"/>
              <w:sz w:val="24"/>
              <w:highlight w:val="none"/>
              <w:lang w:val="en-US" w:eastAsia="zh-CN"/>
            </w:rPr>
            <w:t>第三部分 名词解释</w:t>
          </w:r>
          <w:r>
            <w:rPr>
              <w:rFonts w:hint="eastAsia"/>
              <w:color w:val="auto"/>
              <w:sz w:val="24"/>
              <w:highlight w:val="none"/>
              <w:lang w:val="en-US" w:eastAsia="zh-CN"/>
            </w:rPr>
            <w:tab/>
          </w: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PAGEREF _Toc2042 \h </w:instrText>
          </w:r>
          <w:r>
            <w:rPr>
              <w:rFonts w:hint="eastAsia"/>
              <w:color w:val="auto"/>
              <w:sz w:val="24"/>
              <w:highlight w:val="none"/>
              <w:lang w:val="en-US" w:eastAsia="zh-CN"/>
            </w:rPr>
            <w:fldChar w:fldCharType="separate"/>
          </w:r>
          <w:r>
            <w:rPr>
              <w:rFonts w:hint="eastAsia"/>
              <w:color w:val="auto"/>
              <w:sz w:val="24"/>
              <w:highlight w:val="none"/>
              <w:lang w:val="en-US" w:eastAsia="zh-CN"/>
            </w:rPr>
            <w:t>17</w:t>
          </w:r>
          <w:r>
            <w:rPr>
              <w:rFonts w:hint="eastAsia"/>
              <w:color w:val="auto"/>
              <w:sz w:val="24"/>
              <w:highlight w:val="none"/>
              <w:lang w:val="en-US" w:eastAsia="zh-CN"/>
            </w:rPr>
            <w:fldChar w:fldCharType="end"/>
          </w:r>
          <w:r>
            <w:rPr>
              <w:rFonts w:hint="eastAsia"/>
              <w:color w:val="auto"/>
              <w:sz w:val="24"/>
              <w:highlight w:val="none"/>
              <w:lang w:val="en-US" w:eastAsia="zh-CN"/>
            </w:rPr>
            <w:fldChar w:fldCharType="end"/>
          </w:r>
        </w:p>
        <w:p>
          <w:pPr>
            <w:pStyle w:val="2"/>
            <w:tabs>
              <w:tab w:val="right" w:leader="dot" w:pos="8306"/>
              <w:tab w:val="clear" w:pos="8296"/>
            </w:tabs>
            <w:jc w:val="center"/>
            <w:rPr>
              <w:rFonts w:hint="eastAsia"/>
              <w:color w:val="auto"/>
              <w:sz w:val="24"/>
              <w:highlight w:val="none"/>
              <w:lang w:val="en-US" w:eastAsia="zh-CN"/>
            </w:rPr>
          </w:pP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HYPERLINK \l _Toc4037 </w:instrText>
          </w:r>
          <w:r>
            <w:rPr>
              <w:rFonts w:hint="eastAsia"/>
              <w:color w:val="auto"/>
              <w:sz w:val="24"/>
              <w:highlight w:val="none"/>
              <w:lang w:val="en-US" w:eastAsia="zh-CN"/>
            </w:rPr>
            <w:fldChar w:fldCharType="separate"/>
          </w:r>
          <w:r>
            <w:rPr>
              <w:rFonts w:hint="eastAsia"/>
              <w:color w:val="auto"/>
              <w:sz w:val="24"/>
              <w:highlight w:val="none"/>
              <w:lang w:val="en-US" w:eastAsia="zh-CN"/>
            </w:rPr>
            <w:t>第四部分 附件</w:t>
          </w:r>
          <w:r>
            <w:rPr>
              <w:rFonts w:hint="eastAsia"/>
              <w:color w:val="auto"/>
              <w:sz w:val="24"/>
              <w:highlight w:val="none"/>
              <w:lang w:val="en-US" w:eastAsia="zh-CN"/>
            </w:rPr>
            <w:tab/>
          </w: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PAGEREF _Toc4037 \h </w:instrText>
          </w:r>
          <w:r>
            <w:rPr>
              <w:rFonts w:hint="eastAsia"/>
              <w:color w:val="auto"/>
              <w:sz w:val="24"/>
              <w:highlight w:val="none"/>
              <w:lang w:val="en-US" w:eastAsia="zh-CN"/>
            </w:rPr>
            <w:fldChar w:fldCharType="separate"/>
          </w:r>
          <w:r>
            <w:rPr>
              <w:rFonts w:hint="eastAsia"/>
              <w:color w:val="auto"/>
              <w:sz w:val="24"/>
              <w:highlight w:val="none"/>
              <w:lang w:val="en-US" w:eastAsia="zh-CN"/>
            </w:rPr>
            <w:t>21</w:t>
          </w:r>
          <w:r>
            <w:rPr>
              <w:rFonts w:hint="eastAsia"/>
              <w:color w:val="auto"/>
              <w:sz w:val="24"/>
              <w:highlight w:val="none"/>
              <w:lang w:val="en-US" w:eastAsia="zh-CN"/>
            </w:rPr>
            <w:fldChar w:fldCharType="end"/>
          </w:r>
          <w:r>
            <w:rPr>
              <w:rFonts w:hint="eastAsia"/>
              <w:color w:val="auto"/>
              <w:sz w:val="24"/>
              <w:highlight w:val="none"/>
              <w:lang w:val="en-US" w:eastAsia="zh-CN"/>
            </w:rPr>
            <w:fldChar w:fldCharType="end"/>
          </w:r>
        </w:p>
        <w:p>
          <w:pPr>
            <w:pStyle w:val="2"/>
            <w:tabs>
              <w:tab w:val="right" w:leader="dot" w:pos="8306"/>
              <w:tab w:val="clear" w:pos="8296"/>
            </w:tabs>
            <w:jc w:val="center"/>
          </w:pP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HYPERLINK \l _Toc30276 </w:instrText>
          </w:r>
          <w:r>
            <w:rPr>
              <w:rFonts w:hint="eastAsia"/>
              <w:color w:val="auto"/>
              <w:sz w:val="24"/>
              <w:highlight w:val="none"/>
              <w:lang w:val="en-US" w:eastAsia="zh-CN"/>
            </w:rPr>
            <w:fldChar w:fldCharType="separate"/>
          </w:r>
          <w:r>
            <w:rPr>
              <w:rFonts w:hint="eastAsia"/>
              <w:color w:val="auto"/>
              <w:sz w:val="24"/>
              <w:highlight w:val="none"/>
              <w:lang w:val="en-US" w:eastAsia="zh-CN"/>
            </w:rPr>
            <w:t>第五部分 附表</w:t>
          </w:r>
          <w:r>
            <w:rPr>
              <w:rFonts w:hint="eastAsia"/>
              <w:color w:val="auto"/>
              <w:sz w:val="24"/>
              <w:highlight w:val="none"/>
              <w:lang w:val="en-US" w:eastAsia="zh-CN"/>
            </w:rPr>
            <w:tab/>
          </w: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PAGEREF _Toc30276 \h </w:instrText>
          </w:r>
          <w:r>
            <w:rPr>
              <w:rFonts w:hint="eastAsia"/>
              <w:color w:val="auto"/>
              <w:sz w:val="24"/>
              <w:highlight w:val="none"/>
              <w:lang w:val="en-US" w:eastAsia="zh-CN"/>
            </w:rPr>
            <w:fldChar w:fldCharType="separate"/>
          </w:r>
          <w:r>
            <w:rPr>
              <w:rFonts w:hint="eastAsia"/>
              <w:color w:val="auto"/>
              <w:sz w:val="24"/>
              <w:highlight w:val="none"/>
              <w:lang w:val="en-US" w:eastAsia="zh-CN"/>
            </w:rPr>
            <w:t>30</w:t>
          </w:r>
          <w:r>
            <w:rPr>
              <w:rFonts w:hint="eastAsia"/>
              <w:color w:val="auto"/>
              <w:sz w:val="24"/>
              <w:highlight w:val="none"/>
              <w:lang w:val="en-US" w:eastAsia="zh-CN"/>
            </w:rPr>
            <w:fldChar w:fldCharType="end"/>
          </w:r>
          <w:r>
            <w:rPr>
              <w:rFonts w:hint="eastAsia"/>
              <w:color w:val="auto"/>
              <w:sz w:val="24"/>
              <w:highlight w:val="none"/>
              <w:lang w:val="en-US" w:eastAsia="zh-CN"/>
            </w:rPr>
            <w:fldChar w:fldCharType="end"/>
          </w:r>
        </w:p>
        <w:p>
          <w:pPr>
            <w:pStyle w:val="11"/>
            <w:adjustRightInd w:val="0"/>
            <w:snapToGrid w:val="0"/>
            <w:spacing w:line="440" w:lineRule="exact"/>
            <w:jc w:val="center"/>
            <w:rPr>
              <w:rFonts w:hint="eastAsia"/>
              <w:color w:val="auto"/>
              <w:sz w:val="24"/>
              <w:highlight w:val="none"/>
              <w:lang w:val="en-US" w:eastAsia="zh-CN"/>
            </w:rPr>
          </w:pP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HYPERLINK \l _Toc13203 </w:instrText>
          </w:r>
          <w:r>
            <w:rPr>
              <w:rFonts w:hint="eastAsia"/>
              <w:color w:val="auto"/>
              <w:sz w:val="24"/>
              <w:highlight w:val="none"/>
              <w:lang w:val="en-US" w:eastAsia="zh-CN"/>
            </w:rPr>
            <w:fldChar w:fldCharType="separate"/>
          </w:r>
          <w:r>
            <w:rPr>
              <w:rFonts w:hint="eastAsia"/>
              <w:color w:val="auto"/>
              <w:sz w:val="24"/>
              <w:highlight w:val="none"/>
              <w:lang w:val="en-US" w:eastAsia="zh-CN"/>
            </w:rPr>
            <w:t>一、收入支出决算总表</w:t>
          </w:r>
          <w:r>
            <w:rPr>
              <w:rFonts w:hint="eastAsia"/>
              <w:color w:val="auto"/>
              <w:sz w:val="24"/>
              <w:highlight w:val="none"/>
              <w:lang w:val="en-US" w:eastAsia="zh-CN"/>
            </w:rPr>
            <w:tab/>
          </w: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PAGEREF _Toc13203 \h </w:instrText>
          </w:r>
          <w:r>
            <w:rPr>
              <w:rFonts w:hint="eastAsia"/>
              <w:color w:val="auto"/>
              <w:sz w:val="24"/>
              <w:highlight w:val="none"/>
              <w:lang w:val="en-US" w:eastAsia="zh-CN"/>
            </w:rPr>
            <w:fldChar w:fldCharType="separate"/>
          </w:r>
          <w:r>
            <w:rPr>
              <w:rFonts w:hint="eastAsia"/>
              <w:color w:val="auto"/>
              <w:sz w:val="24"/>
              <w:highlight w:val="none"/>
              <w:lang w:val="en-US" w:eastAsia="zh-CN"/>
            </w:rPr>
            <w:t>101</w:t>
          </w:r>
          <w:r>
            <w:rPr>
              <w:rFonts w:hint="eastAsia"/>
              <w:color w:val="auto"/>
              <w:sz w:val="24"/>
              <w:highlight w:val="none"/>
              <w:lang w:val="en-US" w:eastAsia="zh-CN"/>
            </w:rPr>
            <w:fldChar w:fldCharType="end"/>
          </w:r>
          <w:r>
            <w:rPr>
              <w:rFonts w:hint="eastAsia"/>
              <w:color w:val="auto"/>
              <w:sz w:val="24"/>
              <w:highlight w:val="none"/>
              <w:lang w:val="en-US" w:eastAsia="zh-CN"/>
            </w:rPr>
            <w:fldChar w:fldCharType="end"/>
          </w:r>
        </w:p>
        <w:p>
          <w:pPr>
            <w:pStyle w:val="11"/>
            <w:adjustRightInd w:val="0"/>
            <w:snapToGrid w:val="0"/>
            <w:spacing w:line="440" w:lineRule="exact"/>
            <w:jc w:val="center"/>
            <w:rPr>
              <w:rFonts w:hint="eastAsia"/>
              <w:color w:val="auto"/>
              <w:sz w:val="24"/>
              <w:highlight w:val="none"/>
              <w:lang w:val="en-US" w:eastAsia="zh-CN"/>
            </w:rPr>
          </w:pP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HYPERLINK \l _Toc5847 </w:instrText>
          </w:r>
          <w:r>
            <w:rPr>
              <w:rFonts w:hint="eastAsia"/>
              <w:color w:val="auto"/>
              <w:sz w:val="24"/>
              <w:highlight w:val="none"/>
              <w:lang w:val="en-US" w:eastAsia="zh-CN"/>
            </w:rPr>
            <w:fldChar w:fldCharType="separate"/>
          </w:r>
          <w:r>
            <w:rPr>
              <w:rFonts w:hint="eastAsia"/>
              <w:color w:val="auto"/>
              <w:sz w:val="24"/>
              <w:highlight w:val="none"/>
              <w:lang w:val="en-US" w:eastAsia="zh-CN"/>
            </w:rPr>
            <w:t>二、收入决算表</w:t>
          </w:r>
          <w:r>
            <w:rPr>
              <w:rFonts w:hint="eastAsia"/>
              <w:color w:val="auto"/>
              <w:sz w:val="24"/>
              <w:highlight w:val="none"/>
              <w:lang w:val="en-US" w:eastAsia="zh-CN"/>
            </w:rPr>
            <w:tab/>
          </w: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PAGEREF _Toc5847 \h </w:instrText>
          </w:r>
          <w:r>
            <w:rPr>
              <w:rFonts w:hint="eastAsia"/>
              <w:color w:val="auto"/>
              <w:sz w:val="24"/>
              <w:highlight w:val="none"/>
              <w:lang w:val="en-US" w:eastAsia="zh-CN"/>
            </w:rPr>
            <w:fldChar w:fldCharType="separate"/>
          </w:r>
          <w:r>
            <w:rPr>
              <w:rFonts w:hint="eastAsia"/>
              <w:color w:val="auto"/>
              <w:sz w:val="24"/>
              <w:highlight w:val="none"/>
              <w:lang w:val="en-US" w:eastAsia="zh-CN"/>
            </w:rPr>
            <w:t>101</w:t>
          </w:r>
          <w:r>
            <w:rPr>
              <w:rFonts w:hint="eastAsia"/>
              <w:color w:val="auto"/>
              <w:sz w:val="24"/>
              <w:highlight w:val="none"/>
              <w:lang w:val="en-US" w:eastAsia="zh-CN"/>
            </w:rPr>
            <w:fldChar w:fldCharType="end"/>
          </w:r>
          <w:r>
            <w:rPr>
              <w:rFonts w:hint="eastAsia"/>
              <w:color w:val="auto"/>
              <w:sz w:val="24"/>
              <w:highlight w:val="none"/>
              <w:lang w:val="en-US" w:eastAsia="zh-CN"/>
            </w:rPr>
            <w:fldChar w:fldCharType="end"/>
          </w:r>
        </w:p>
        <w:p>
          <w:pPr>
            <w:pStyle w:val="11"/>
            <w:adjustRightInd w:val="0"/>
            <w:snapToGrid w:val="0"/>
            <w:spacing w:line="440" w:lineRule="exact"/>
            <w:jc w:val="center"/>
            <w:rPr>
              <w:rFonts w:hint="eastAsia"/>
              <w:color w:val="auto"/>
              <w:sz w:val="24"/>
              <w:highlight w:val="none"/>
              <w:lang w:val="en-US" w:eastAsia="zh-CN"/>
            </w:rPr>
          </w:pP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HYPERLINK \l _Toc12070 </w:instrText>
          </w:r>
          <w:r>
            <w:rPr>
              <w:rFonts w:hint="eastAsia"/>
              <w:color w:val="auto"/>
              <w:sz w:val="24"/>
              <w:highlight w:val="none"/>
              <w:lang w:val="en-US" w:eastAsia="zh-CN"/>
            </w:rPr>
            <w:fldChar w:fldCharType="separate"/>
          </w:r>
          <w:r>
            <w:rPr>
              <w:rFonts w:hint="eastAsia"/>
              <w:color w:val="auto"/>
              <w:sz w:val="24"/>
              <w:highlight w:val="none"/>
              <w:lang w:val="en-US" w:eastAsia="zh-CN"/>
            </w:rPr>
            <w:t>三、支出决算表</w:t>
          </w:r>
          <w:r>
            <w:rPr>
              <w:rFonts w:hint="eastAsia"/>
              <w:color w:val="auto"/>
              <w:sz w:val="24"/>
              <w:highlight w:val="none"/>
              <w:lang w:val="en-US" w:eastAsia="zh-CN"/>
            </w:rPr>
            <w:tab/>
          </w: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PAGEREF _Toc12070 \h </w:instrText>
          </w:r>
          <w:r>
            <w:rPr>
              <w:rFonts w:hint="eastAsia"/>
              <w:color w:val="auto"/>
              <w:sz w:val="24"/>
              <w:highlight w:val="none"/>
              <w:lang w:val="en-US" w:eastAsia="zh-CN"/>
            </w:rPr>
            <w:fldChar w:fldCharType="separate"/>
          </w:r>
          <w:r>
            <w:rPr>
              <w:rFonts w:hint="eastAsia"/>
              <w:color w:val="auto"/>
              <w:sz w:val="24"/>
              <w:highlight w:val="none"/>
              <w:lang w:val="en-US" w:eastAsia="zh-CN"/>
            </w:rPr>
            <w:t>101</w:t>
          </w:r>
          <w:r>
            <w:rPr>
              <w:rFonts w:hint="eastAsia"/>
              <w:color w:val="auto"/>
              <w:sz w:val="24"/>
              <w:highlight w:val="none"/>
              <w:lang w:val="en-US" w:eastAsia="zh-CN"/>
            </w:rPr>
            <w:fldChar w:fldCharType="end"/>
          </w:r>
          <w:r>
            <w:rPr>
              <w:rFonts w:hint="eastAsia"/>
              <w:color w:val="auto"/>
              <w:sz w:val="24"/>
              <w:highlight w:val="none"/>
              <w:lang w:val="en-US" w:eastAsia="zh-CN"/>
            </w:rPr>
            <w:fldChar w:fldCharType="end"/>
          </w:r>
        </w:p>
        <w:p>
          <w:pPr>
            <w:pStyle w:val="11"/>
            <w:adjustRightInd w:val="0"/>
            <w:snapToGrid w:val="0"/>
            <w:spacing w:line="440" w:lineRule="exact"/>
            <w:jc w:val="center"/>
            <w:rPr>
              <w:rFonts w:hint="eastAsia"/>
              <w:color w:val="auto"/>
              <w:sz w:val="24"/>
              <w:highlight w:val="none"/>
              <w:lang w:val="en-US" w:eastAsia="zh-CN"/>
            </w:rPr>
          </w:pP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HYPERLINK \l _Toc9428 </w:instrText>
          </w:r>
          <w:r>
            <w:rPr>
              <w:rFonts w:hint="eastAsia"/>
              <w:color w:val="auto"/>
              <w:sz w:val="24"/>
              <w:highlight w:val="none"/>
              <w:lang w:val="en-US" w:eastAsia="zh-CN"/>
            </w:rPr>
            <w:fldChar w:fldCharType="separate"/>
          </w:r>
          <w:r>
            <w:rPr>
              <w:rFonts w:hint="eastAsia"/>
              <w:color w:val="auto"/>
              <w:sz w:val="24"/>
              <w:highlight w:val="none"/>
              <w:lang w:val="en-US" w:eastAsia="zh-CN"/>
            </w:rPr>
            <w:t>四、财政拨款收入支出决算总表</w:t>
          </w:r>
          <w:r>
            <w:rPr>
              <w:rFonts w:hint="eastAsia"/>
              <w:color w:val="auto"/>
              <w:sz w:val="24"/>
              <w:highlight w:val="none"/>
              <w:lang w:val="en-US" w:eastAsia="zh-CN"/>
            </w:rPr>
            <w:tab/>
          </w: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PAGEREF _Toc9428 \h </w:instrText>
          </w:r>
          <w:r>
            <w:rPr>
              <w:rFonts w:hint="eastAsia"/>
              <w:color w:val="auto"/>
              <w:sz w:val="24"/>
              <w:highlight w:val="none"/>
              <w:lang w:val="en-US" w:eastAsia="zh-CN"/>
            </w:rPr>
            <w:fldChar w:fldCharType="separate"/>
          </w:r>
          <w:r>
            <w:rPr>
              <w:rFonts w:hint="eastAsia"/>
              <w:color w:val="auto"/>
              <w:sz w:val="24"/>
              <w:highlight w:val="none"/>
              <w:lang w:val="en-US" w:eastAsia="zh-CN"/>
            </w:rPr>
            <w:t>101</w:t>
          </w:r>
          <w:r>
            <w:rPr>
              <w:rFonts w:hint="eastAsia"/>
              <w:color w:val="auto"/>
              <w:sz w:val="24"/>
              <w:highlight w:val="none"/>
              <w:lang w:val="en-US" w:eastAsia="zh-CN"/>
            </w:rPr>
            <w:fldChar w:fldCharType="end"/>
          </w:r>
          <w:r>
            <w:rPr>
              <w:rFonts w:hint="eastAsia"/>
              <w:color w:val="auto"/>
              <w:sz w:val="24"/>
              <w:highlight w:val="none"/>
              <w:lang w:val="en-US" w:eastAsia="zh-CN"/>
            </w:rPr>
            <w:fldChar w:fldCharType="end"/>
          </w:r>
        </w:p>
        <w:p>
          <w:pPr>
            <w:pStyle w:val="11"/>
            <w:adjustRightInd w:val="0"/>
            <w:snapToGrid w:val="0"/>
            <w:spacing w:line="440" w:lineRule="exact"/>
            <w:jc w:val="center"/>
            <w:rPr>
              <w:rFonts w:hint="eastAsia"/>
              <w:color w:val="auto"/>
              <w:sz w:val="24"/>
              <w:highlight w:val="none"/>
              <w:lang w:val="en-US" w:eastAsia="zh-CN"/>
            </w:rPr>
          </w:pP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HYPERLINK \l _Toc14635 </w:instrText>
          </w:r>
          <w:r>
            <w:rPr>
              <w:rFonts w:hint="eastAsia"/>
              <w:color w:val="auto"/>
              <w:sz w:val="24"/>
              <w:highlight w:val="none"/>
              <w:lang w:val="en-US" w:eastAsia="zh-CN"/>
            </w:rPr>
            <w:fldChar w:fldCharType="separate"/>
          </w:r>
          <w:r>
            <w:rPr>
              <w:rFonts w:hint="eastAsia"/>
              <w:color w:val="auto"/>
              <w:sz w:val="24"/>
              <w:highlight w:val="none"/>
              <w:lang w:val="en-US" w:eastAsia="zh-CN"/>
            </w:rPr>
            <w:t>五、财政拨款支出决算明细表</w:t>
          </w:r>
          <w:r>
            <w:rPr>
              <w:rFonts w:hint="eastAsia"/>
              <w:color w:val="auto"/>
              <w:sz w:val="24"/>
              <w:highlight w:val="none"/>
              <w:lang w:val="en-US" w:eastAsia="zh-CN"/>
            </w:rPr>
            <w:tab/>
          </w: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PAGEREF _Toc14635 \h </w:instrText>
          </w:r>
          <w:r>
            <w:rPr>
              <w:rFonts w:hint="eastAsia"/>
              <w:color w:val="auto"/>
              <w:sz w:val="24"/>
              <w:highlight w:val="none"/>
              <w:lang w:val="en-US" w:eastAsia="zh-CN"/>
            </w:rPr>
            <w:fldChar w:fldCharType="separate"/>
          </w:r>
          <w:r>
            <w:rPr>
              <w:rFonts w:hint="eastAsia"/>
              <w:color w:val="auto"/>
              <w:sz w:val="24"/>
              <w:highlight w:val="none"/>
              <w:lang w:val="en-US" w:eastAsia="zh-CN"/>
            </w:rPr>
            <w:t>101</w:t>
          </w:r>
          <w:r>
            <w:rPr>
              <w:rFonts w:hint="eastAsia"/>
              <w:color w:val="auto"/>
              <w:sz w:val="24"/>
              <w:highlight w:val="none"/>
              <w:lang w:val="en-US" w:eastAsia="zh-CN"/>
            </w:rPr>
            <w:fldChar w:fldCharType="end"/>
          </w:r>
          <w:r>
            <w:rPr>
              <w:rFonts w:hint="eastAsia"/>
              <w:color w:val="auto"/>
              <w:sz w:val="24"/>
              <w:highlight w:val="none"/>
              <w:lang w:val="en-US" w:eastAsia="zh-CN"/>
            </w:rPr>
            <w:fldChar w:fldCharType="end"/>
          </w:r>
        </w:p>
        <w:p>
          <w:pPr>
            <w:pStyle w:val="11"/>
            <w:adjustRightInd w:val="0"/>
            <w:snapToGrid w:val="0"/>
            <w:spacing w:line="440" w:lineRule="exact"/>
            <w:jc w:val="center"/>
            <w:rPr>
              <w:rFonts w:hint="eastAsia"/>
              <w:color w:val="auto"/>
              <w:sz w:val="24"/>
              <w:highlight w:val="none"/>
              <w:lang w:val="en-US" w:eastAsia="zh-CN"/>
            </w:rPr>
          </w:pP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HYPERLINK \l _Toc18549 </w:instrText>
          </w:r>
          <w:r>
            <w:rPr>
              <w:rFonts w:hint="eastAsia"/>
              <w:color w:val="auto"/>
              <w:sz w:val="24"/>
              <w:highlight w:val="none"/>
              <w:lang w:val="en-US" w:eastAsia="zh-CN"/>
            </w:rPr>
            <w:fldChar w:fldCharType="separate"/>
          </w:r>
          <w:r>
            <w:rPr>
              <w:rFonts w:hint="eastAsia"/>
              <w:color w:val="auto"/>
              <w:sz w:val="24"/>
              <w:highlight w:val="none"/>
              <w:lang w:val="en-US" w:eastAsia="zh-CN"/>
            </w:rPr>
            <w:t>六、一般公共预算财政拨款支出决算表</w:t>
          </w:r>
          <w:r>
            <w:rPr>
              <w:rFonts w:hint="eastAsia"/>
              <w:color w:val="auto"/>
              <w:sz w:val="24"/>
              <w:highlight w:val="none"/>
              <w:lang w:val="en-US" w:eastAsia="zh-CN"/>
            </w:rPr>
            <w:tab/>
          </w: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PAGEREF _Toc18549 \h </w:instrText>
          </w:r>
          <w:r>
            <w:rPr>
              <w:rFonts w:hint="eastAsia"/>
              <w:color w:val="auto"/>
              <w:sz w:val="24"/>
              <w:highlight w:val="none"/>
              <w:lang w:val="en-US" w:eastAsia="zh-CN"/>
            </w:rPr>
            <w:fldChar w:fldCharType="separate"/>
          </w:r>
          <w:r>
            <w:rPr>
              <w:rFonts w:hint="eastAsia"/>
              <w:color w:val="auto"/>
              <w:sz w:val="24"/>
              <w:highlight w:val="none"/>
              <w:lang w:val="en-US" w:eastAsia="zh-CN"/>
            </w:rPr>
            <w:t>101</w:t>
          </w:r>
          <w:r>
            <w:rPr>
              <w:rFonts w:hint="eastAsia"/>
              <w:color w:val="auto"/>
              <w:sz w:val="24"/>
              <w:highlight w:val="none"/>
              <w:lang w:val="en-US" w:eastAsia="zh-CN"/>
            </w:rPr>
            <w:fldChar w:fldCharType="end"/>
          </w:r>
          <w:r>
            <w:rPr>
              <w:rFonts w:hint="eastAsia"/>
              <w:color w:val="auto"/>
              <w:sz w:val="24"/>
              <w:highlight w:val="none"/>
              <w:lang w:val="en-US" w:eastAsia="zh-CN"/>
            </w:rPr>
            <w:fldChar w:fldCharType="end"/>
          </w:r>
        </w:p>
        <w:p>
          <w:pPr>
            <w:pStyle w:val="11"/>
            <w:adjustRightInd w:val="0"/>
            <w:snapToGrid w:val="0"/>
            <w:spacing w:line="440" w:lineRule="exact"/>
            <w:jc w:val="center"/>
            <w:rPr>
              <w:rFonts w:hint="eastAsia"/>
              <w:color w:val="auto"/>
              <w:sz w:val="24"/>
              <w:highlight w:val="none"/>
              <w:lang w:val="en-US" w:eastAsia="zh-CN"/>
            </w:rPr>
          </w:pP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HYPERLINK \l _Toc28763 </w:instrText>
          </w:r>
          <w:r>
            <w:rPr>
              <w:rFonts w:hint="eastAsia"/>
              <w:color w:val="auto"/>
              <w:sz w:val="24"/>
              <w:highlight w:val="none"/>
              <w:lang w:val="en-US" w:eastAsia="zh-CN"/>
            </w:rPr>
            <w:fldChar w:fldCharType="separate"/>
          </w:r>
          <w:r>
            <w:rPr>
              <w:rFonts w:hint="eastAsia"/>
              <w:color w:val="auto"/>
              <w:sz w:val="24"/>
              <w:highlight w:val="none"/>
              <w:lang w:val="en-US" w:eastAsia="zh-CN"/>
            </w:rPr>
            <w:t>七、一般公共预算财政拨款支出决算明细表</w:t>
          </w:r>
          <w:r>
            <w:rPr>
              <w:rFonts w:hint="eastAsia"/>
              <w:color w:val="auto"/>
              <w:sz w:val="24"/>
              <w:highlight w:val="none"/>
              <w:lang w:val="en-US" w:eastAsia="zh-CN"/>
            </w:rPr>
            <w:tab/>
          </w: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PAGEREF _Toc28763 \h </w:instrText>
          </w:r>
          <w:r>
            <w:rPr>
              <w:rFonts w:hint="eastAsia"/>
              <w:color w:val="auto"/>
              <w:sz w:val="24"/>
              <w:highlight w:val="none"/>
              <w:lang w:val="en-US" w:eastAsia="zh-CN"/>
            </w:rPr>
            <w:fldChar w:fldCharType="separate"/>
          </w:r>
          <w:r>
            <w:rPr>
              <w:rFonts w:hint="eastAsia"/>
              <w:color w:val="auto"/>
              <w:sz w:val="24"/>
              <w:highlight w:val="none"/>
              <w:lang w:val="en-US" w:eastAsia="zh-CN"/>
            </w:rPr>
            <w:t>101</w:t>
          </w:r>
          <w:r>
            <w:rPr>
              <w:rFonts w:hint="eastAsia"/>
              <w:color w:val="auto"/>
              <w:sz w:val="24"/>
              <w:highlight w:val="none"/>
              <w:lang w:val="en-US" w:eastAsia="zh-CN"/>
            </w:rPr>
            <w:fldChar w:fldCharType="end"/>
          </w:r>
          <w:r>
            <w:rPr>
              <w:rFonts w:hint="eastAsia"/>
              <w:color w:val="auto"/>
              <w:sz w:val="24"/>
              <w:highlight w:val="none"/>
              <w:lang w:val="en-US" w:eastAsia="zh-CN"/>
            </w:rPr>
            <w:fldChar w:fldCharType="end"/>
          </w:r>
        </w:p>
        <w:p>
          <w:pPr>
            <w:pStyle w:val="11"/>
            <w:adjustRightInd w:val="0"/>
            <w:snapToGrid w:val="0"/>
            <w:spacing w:line="440" w:lineRule="exact"/>
            <w:jc w:val="center"/>
            <w:rPr>
              <w:rFonts w:hint="eastAsia"/>
              <w:color w:val="auto"/>
              <w:sz w:val="24"/>
              <w:highlight w:val="none"/>
              <w:lang w:val="en-US" w:eastAsia="zh-CN"/>
            </w:rPr>
          </w:pP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HYPERLINK \l _Toc1871 </w:instrText>
          </w:r>
          <w:r>
            <w:rPr>
              <w:rFonts w:hint="eastAsia"/>
              <w:color w:val="auto"/>
              <w:sz w:val="24"/>
              <w:highlight w:val="none"/>
              <w:lang w:val="en-US" w:eastAsia="zh-CN"/>
            </w:rPr>
            <w:fldChar w:fldCharType="separate"/>
          </w:r>
          <w:r>
            <w:rPr>
              <w:rFonts w:hint="eastAsia"/>
              <w:color w:val="auto"/>
              <w:sz w:val="24"/>
              <w:highlight w:val="none"/>
              <w:lang w:val="en-US" w:eastAsia="zh-CN"/>
            </w:rPr>
            <w:t>八、一般公共预算财政拨款基本支出决算表</w:t>
          </w:r>
          <w:r>
            <w:rPr>
              <w:rFonts w:hint="eastAsia"/>
              <w:color w:val="auto"/>
              <w:sz w:val="24"/>
              <w:highlight w:val="none"/>
              <w:lang w:val="en-US" w:eastAsia="zh-CN"/>
            </w:rPr>
            <w:tab/>
          </w: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PAGEREF _Toc1871 \h </w:instrText>
          </w:r>
          <w:r>
            <w:rPr>
              <w:rFonts w:hint="eastAsia"/>
              <w:color w:val="auto"/>
              <w:sz w:val="24"/>
              <w:highlight w:val="none"/>
              <w:lang w:val="en-US" w:eastAsia="zh-CN"/>
            </w:rPr>
            <w:fldChar w:fldCharType="separate"/>
          </w:r>
          <w:r>
            <w:rPr>
              <w:rFonts w:hint="eastAsia"/>
              <w:color w:val="auto"/>
              <w:sz w:val="24"/>
              <w:highlight w:val="none"/>
              <w:lang w:val="en-US" w:eastAsia="zh-CN"/>
            </w:rPr>
            <w:t>101</w:t>
          </w:r>
          <w:r>
            <w:rPr>
              <w:rFonts w:hint="eastAsia"/>
              <w:color w:val="auto"/>
              <w:sz w:val="24"/>
              <w:highlight w:val="none"/>
              <w:lang w:val="en-US" w:eastAsia="zh-CN"/>
            </w:rPr>
            <w:fldChar w:fldCharType="end"/>
          </w:r>
          <w:r>
            <w:rPr>
              <w:rFonts w:hint="eastAsia"/>
              <w:color w:val="auto"/>
              <w:sz w:val="24"/>
              <w:highlight w:val="none"/>
              <w:lang w:val="en-US" w:eastAsia="zh-CN"/>
            </w:rPr>
            <w:fldChar w:fldCharType="end"/>
          </w:r>
        </w:p>
        <w:p>
          <w:pPr>
            <w:pStyle w:val="11"/>
            <w:adjustRightInd w:val="0"/>
            <w:snapToGrid w:val="0"/>
            <w:spacing w:line="440" w:lineRule="exact"/>
            <w:jc w:val="center"/>
            <w:rPr>
              <w:rFonts w:hint="eastAsia"/>
              <w:color w:val="auto"/>
              <w:sz w:val="24"/>
              <w:highlight w:val="none"/>
              <w:lang w:val="en-US" w:eastAsia="zh-CN"/>
            </w:rPr>
          </w:pP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HYPERLINK \l _Toc9903 </w:instrText>
          </w:r>
          <w:r>
            <w:rPr>
              <w:rFonts w:hint="eastAsia"/>
              <w:color w:val="auto"/>
              <w:sz w:val="24"/>
              <w:highlight w:val="none"/>
              <w:lang w:val="en-US" w:eastAsia="zh-CN"/>
            </w:rPr>
            <w:fldChar w:fldCharType="separate"/>
          </w:r>
          <w:r>
            <w:rPr>
              <w:rFonts w:hint="eastAsia"/>
              <w:color w:val="auto"/>
              <w:sz w:val="24"/>
              <w:highlight w:val="none"/>
              <w:lang w:val="en-US" w:eastAsia="zh-CN"/>
            </w:rPr>
            <w:t>九、一般公共预算财政拨款项目支出决算表</w:t>
          </w:r>
          <w:r>
            <w:rPr>
              <w:rFonts w:hint="eastAsia"/>
              <w:color w:val="auto"/>
              <w:sz w:val="24"/>
              <w:highlight w:val="none"/>
              <w:lang w:val="en-US" w:eastAsia="zh-CN"/>
            </w:rPr>
            <w:tab/>
          </w: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PAGEREF _Toc9903 \h </w:instrText>
          </w:r>
          <w:r>
            <w:rPr>
              <w:rFonts w:hint="eastAsia"/>
              <w:color w:val="auto"/>
              <w:sz w:val="24"/>
              <w:highlight w:val="none"/>
              <w:lang w:val="en-US" w:eastAsia="zh-CN"/>
            </w:rPr>
            <w:fldChar w:fldCharType="separate"/>
          </w:r>
          <w:r>
            <w:rPr>
              <w:rFonts w:hint="eastAsia"/>
              <w:color w:val="auto"/>
              <w:sz w:val="24"/>
              <w:highlight w:val="none"/>
              <w:lang w:val="en-US" w:eastAsia="zh-CN"/>
            </w:rPr>
            <w:t>101</w:t>
          </w:r>
          <w:r>
            <w:rPr>
              <w:rFonts w:hint="eastAsia"/>
              <w:color w:val="auto"/>
              <w:sz w:val="24"/>
              <w:highlight w:val="none"/>
              <w:lang w:val="en-US" w:eastAsia="zh-CN"/>
            </w:rPr>
            <w:fldChar w:fldCharType="end"/>
          </w:r>
          <w:r>
            <w:rPr>
              <w:rFonts w:hint="eastAsia"/>
              <w:color w:val="auto"/>
              <w:sz w:val="24"/>
              <w:highlight w:val="none"/>
              <w:lang w:val="en-US" w:eastAsia="zh-CN"/>
            </w:rPr>
            <w:fldChar w:fldCharType="end"/>
          </w:r>
        </w:p>
        <w:p>
          <w:pPr>
            <w:pStyle w:val="11"/>
            <w:adjustRightInd w:val="0"/>
            <w:snapToGrid w:val="0"/>
            <w:spacing w:line="440" w:lineRule="exact"/>
            <w:jc w:val="center"/>
            <w:rPr>
              <w:rFonts w:hint="eastAsia"/>
              <w:color w:val="auto"/>
              <w:sz w:val="24"/>
              <w:highlight w:val="none"/>
              <w:lang w:val="en-US" w:eastAsia="zh-CN"/>
            </w:rPr>
          </w:pP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HYPERLINK \l _Toc11079 </w:instrText>
          </w:r>
          <w:r>
            <w:rPr>
              <w:rFonts w:hint="eastAsia"/>
              <w:color w:val="auto"/>
              <w:sz w:val="24"/>
              <w:highlight w:val="none"/>
              <w:lang w:val="en-US" w:eastAsia="zh-CN"/>
            </w:rPr>
            <w:fldChar w:fldCharType="separate"/>
          </w:r>
          <w:r>
            <w:rPr>
              <w:rFonts w:hint="eastAsia"/>
              <w:color w:val="auto"/>
              <w:sz w:val="24"/>
              <w:highlight w:val="none"/>
              <w:lang w:val="en-US" w:eastAsia="zh-CN"/>
            </w:rPr>
            <w:t>十、政府性基金预算财政拨款收入支出决算表</w:t>
          </w:r>
          <w:r>
            <w:rPr>
              <w:rFonts w:hint="eastAsia"/>
              <w:color w:val="auto"/>
              <w:sz w:val="24"/>
              <w:highlight w:val="none"/>
              <w:lang w:val="en-US" w:eastAsia="zh-CN"/>
            </w:rPr>
            <w:tab/>
          </w: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PAGEREF _Toc11079 \h </w:instrText>
          </w:r>
          <w:r>
            <w:rPr>
              <w:rFonts w:hint="eastAsia"/>
              <w:color w:val="auto"/>
              <w:sz w:val="24"/>
              <w:highlight w:val="none"/>
              <w:lang w:val="en-US" w:eastAsia="zh-CN"/>
            </w:rPr>
            <w:fldChar w:fldCharType="separate"/>
          </w:r>
          <w:r>
            <w:rPr>
              <w:rFonts w:hint="eastAsia"/>
              <w:color w:val="auto"/>
              <w:sz w:val="24"/>
              <w:highlight w:val="none"/>
              <w:lang w:val="en-US" w:eastAsia="zh-CN"/>
            </w:rPr>
            <w:t>101</w:t>
          </w:r>
          <w:r>
            <w:rPr>
              <w:rFonts w:hint="eastAsia"/>
              <w:color w:val="auto"/>
              <w:sz w:val="24"/>
              <w:highlight w:val="none"/>
              <w:lang w:val="en-US" w:eastAsia="zh-CN"/>
            </w:rPr>
            <w:fldChar w:fldCharType="end"/>
          </w:r>
          <w:r>
            <w:rPr>
              <w:rFonts w:hint="eastAsia"/>
              <w:color w:val="auto"/>
              <w:sz w:val="24"/>
              <w:highlight w:val="none"/>
              <w:lang w:val="en-US" w:eastAsia="zh-CN"/>
            </w:rPr>
            <w:fldChar w:fldCharType="end"/>
          </w:r>
        </w:p>
        <w:p>
          <w:pPr>
            <w:pStyle w:val="11"/>
            <w:adjustRightInd w:val="0"/>
            <w:snapToGrid w:val="0"/>
            <w:spacing w:line="440" w:lineRule="exact"/>
            <w:jc w:val="center"/>
            <w:rPr>
              <w:rFonts w:hint="eastAsia"/>
              <w:color w:val="auto"/>
              <w:sz w:val="24"/>
              <w:highlight w:val="none"/>
              <w:lang w:val="en-US" w:eastAsia="zh-CN"/>
            </w:rPr>
          </w:pP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HYPERLINK \l _Toc1796 </w:instrText>
          </w:r>
          <w:r>
            <w:rPr>
              <w:rFonts w:hint="eastAsia"/>
              <w:color w:val="auto"/>
              <w:sz w:val="24"/>
              <w:highlight w:val="none"/>
              <w:lang w:val="en-US" w:eastAsia="zh-CN"/>
            </w:rPr>
            <w:fldChar w:fldCharType="separate"/>
          </w:r>
          <w:r>
            <w:rPr>
              <w:rFonts w:hint="eastAsia"/>
              <w:color w:val="auto"/>
              <w:sz w:val="24"/>
              <w:highlight w:val="none"/>
              <w:lang w:val="en-US" w:eastAsia="zh-CN"/>
            </w:rPr>
            <w:t>十一、国有资本经营预算财政拨款收入支出决算表</w:t>
          </w:r>
          <w:r>
            <w:rPr>
              <w:rFonts w:hint="eastAsia"/>
              <w:color w:val="auto"/>
              <w:sz w:val="24"/>
              <w:highlight w:val="none"/>
              <w:lang w:val="en-US" w:eastAsia="zh-CN"/>
            </w:rPr>
            <w:tab/>
          </w: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PAGEREF _Toc1796 \h </w:instrText>
          </w:r>
          <w:r>
            <w:rPr>
              <w:rFonts w:hint="eastAsia"/>
              <w:color w:val="auto"/>
              <w:sz w:val="24"/>
              <w:highlight w:val="none"/>
              <w:lang w:val="en-US" w:eastAsia="zh-CN"/>
            </w:rPr>
            <w:fldChar w:fldCharType="separate"/>
          </w:r>
          <w:r>
            <w:rPr>
              <w:rFonts w:hint="eastAsia"/>
              <w:color w:val="auto"/>
              <w:sz w:val="24"/>
              <w:highlight w:val="none"/>
              <w:lang w:val="en-US" w:eastAsia="zh-CN"/>
            </w:rPr>
            <w:t>101</w:t>
          </w:r>
          <w:r>
            <w:rPr>
              <w:rFonts w:hint="eastAsia"/>
              <w:color w:val="auto"/>
              <w:sz w:val="24"/>
              <w:highlight w:val="none"/>
              <w:lang w:val="en-US" w:eastAsia="zh-CN"/>
            </w:rPr>
            <w:fldChar w:fldCharType="end"/>
          </w:r>
          <w:r>
            <w:rPr>
              <w:rFonts w:hint="eastAsia"/>
              <w:color w:val="auto"/>
              <w:sz w:val="24"/>
              <w:highlight w:val="none"/>
              <w:lang w:val="en-US" w:eastAsia="zh-CN"/>
            </w:rPr>
            <w:fldChar w:fldCharType="end"/>
          </w:r>
        </w:p>
        <w:p>
          <w:pPr>
            <w:pStyle w:val="11"/>
            <w:adjustRightInd w:val="0"/>
            <w:snapToGrid w:val="0"/>
            <w:spacing w:line="440" w:lineRule="exact"/>
            <w:jc w:val="center"/>
            <w:rPr>
              <w:rFonts w:hint="eastAsia"/>
              <w:color w:val="auto"/>
              <w:sz w:val="24"/>
              <w:highlight w:val="none"/>
              <w:lang w:val="en-US" w:eastAsia="zh-CN"/>
            </w:rPr>
          </w:pP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HYPERLINK \l _Toc16939 </w:instrText>
          </w:r>
          <w:r>
            <w:rPr>
              <w:rFonts w:hint="eastAsia"/>
              <w:color w:val="auto"/>
              <w:sz w:val="24"/>
              <w:highlight w:val="none"/>
              <w:lang w:val="en-US" w:eastAsia="zh-CN"/>
            </w:rPr>
            <w:fldChar w:fldCharType="separate"/>
          </w:r>
          <w:r>
            <w:rPr>
              <w:rFonts w:hint="eastAsia"/>
              <w:color w:val="auto"/>
              <w:sz w:val="24"/>
              <w:highlight w:val="none"/>
              <w:lang w:val="en-US" w:eastAsia="zh-CN"/>
            </w:rPr>
            <w:t>十二、国有资本经营预算财政拨款支出决算表</w:t>
          </w:r>
          <w:r>
            <w:rPr>
              <w:rFonts w:hint="eastAsia"/>
              <w:color w:val="auto"/>
              <w:sz w:val="24"/>
              <w:highlight w:val="none"/>
              <w:lang w:val="en-US" w:eastAsia="zh-CN"/>
            </w:rPr>
            <w:tab/>
          </w: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PAGEREF _Toc16939 \h </w:instrText>
          </w:r>
          <w:r>
            <w:rPr>
              <w:rFonts w:hint="eastAsia"/>
              <w:color w:val="auto"/>
              <w:sz w:val="24"/>
              <w:highlight w:val="none"/>
              <w:lang w:val="en-US" w:eastAsia="zh-CN"/>
            </w:rPr>
            <w:fldChar w:fldCharType="separate"/>
          </w:r>
          <w:r>
            <w:rPr>
              <w:rFonts w:hint="eastAsia"/>
              <w:color w:val="auto"/>
              <w:sz w:val="24"/>
              <w:highlight w:val="none"/>
              <w:lang w:val="en-US" w:eastAsia="zh-CN"/>
            </w:rPr>
            <w:t>101</w:t>
          </w:r>
          <w:r>
            <w:rPr>
              <w:rFonts w:hint="eastAsia"/>
              <w:color w:val="auto"/>
              <w:sz w:val="24"/>
              <w:highlight w:val="none"/>
              <w:lang w:val="en-US" w:eastAsia="zh-CN"/>
            </w:rPr>
            <w:fldChar w:fldCharType="end"/>
          </w:r>
          <w:r>
            <w:rPr>
              <w:rFonts w:hint="eastAsia"/>
              <w:color w:val="auto"/>
              <w:sz w:val="24"/>
              <w:highlight w:val="none"/>
              <w:lang w:val="en-US" w:eastAsia="zh-CN"/>
            </w:rPr>
            <w:fldChar w:fldCharType="end"/>
          </w:r>
        </w:p>
        <w:p>
          <w:pPr>
            <w:pStyle w:val="11"/>
            <w:adjustRightInd w:val="0"/>
            <w:snapToGrid w:val="0"/>
            <w:spacing w:line="440" w:lineRule="exact"/>
            <w:jc w:val="center"/>
          </w:pP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HYPERLINK \l _Toc17612 </w:instrText>
          </w:r>
          <w:r>
            <w:rPr>
              <w:rFonts w:hint="eastAsia"/>
              <w:color w:val="auto"/>
              <w:sz w:val="24"/>
              <w:highlight w:val="none"/>
              <w:lang w:val="en-US" w:eastAsia="zh-CN"/>
            </w:rPr>
            <w:fldChar w:fldCharType="separate"/>
          </w:r>
          <w:r>
            <w:rPr>
              <w:rFonts w:hint="eastAsia"/>
              <w:color w:val="auto"/>
              <w:sz w:val="24"/>
              <w:highlight w:val="none"/>
              <w:lang w:val="en-US" w:eastAsia="zh-CN"/>
            </w:rPr>
            <w:t>十三、财政拨款“三公”经费支出决算表</w:t>
          </w:r>
          <w:r>
            <w:rPr>
              <w:rFonts w:hint="eastAsia"/>
              <w:color w:val="auto"/>
              <w:sz w:val="24"/>
              <w:highlight w:val="none"/>
              <w:lang w:val="en-US" w:eastAsia="zh-CN"/>
            </w:rPr>
            <w:tab/>
          </w:r>
          <w:r>
            <w:rPr>
              <w:rFonts w:hint="eastAsia"/>
              <w:color w:val="auto"/>
              <w:sz w:val="24"/>
              <w:highlight w:val="none"/>
              <w:lang w:val="en-US" w:eastAsia="zh-CN"/>
            </w:rPr>
            <w:fldChar w:fldCharType="begin"/>
          </w:r>
          <w:r>
            <w:rPr>
              <w:rFonts w:hint="eastAsia"/>
              <w:color w:val="auto"/>
              <w:sz w:val="24"/>
              <w:highlight w:val="none"/>
              <w:lang w:val="en-US" w:eastAsia="zh-CN"/>
            </w:rPr>
            <w:instrText xml:space="preserve"> PAGEREF _Toc17612 \h </w:instrText>
          </w:r>
          <w:r>
            <w:rPr>
              <w:rFonts w:hint="eastAsia"/>
              <w:color w:val="auto"/>
              <w:sz w:val="24"/>
              <w:highlight w:val="none"/>
              <w:lang w:val="en-US" w:eastAsia="zh-CN"/>
            </w:rPr>
            <w:fldChar w:fldCharType="separate"/>
          </w:r>
          <w:r>
            <w:rPr>
              <w:rFonts w:hint="eastAsia"/>
              <w:color w:val="auto"/>
              <w:sz w:val="24"/>
              <w:highlight w:val="none"/>
              <w:lang w:val="en-US" w:eastAsia="zh-CN"/>
            </w:rPr>
            <w:t>101</w:t>
          </w:r>
          <w:r>
            <w:rPr>
              <w:rFonts w:hint="eastAsia"/>
              <w:color w:val="auto"/>
              <w:sz w:val="24"/>
              <w:highlight w:val="none"/>
              <w:lang w:val="en-US" w:eastAsia="zh-CN"/>
            </w:rPr>
            <w:fldChar w:fldCharType="end"/>
          </w:r>
          <w:r>
            <w:rPr>
              <w:rFonts w:hint="eastAsia"/>
              <w:color w:val="auto"/>
              <w:sz w:val="24"/>
              <w:highlight w:val="none"/>
              <w:lang w:val="en-US" w:eastAsia="zh-CN"/>
            </w:rPr>
            <w:fldChar w:fldCharType="end"/>
          </w:r>
        </w:p>
        <w:p>
          <w:pPr>
            <w:jc w:val="center"/>
          </w:pPr>
          <w:r>
            <w:fldChar w:fldCharType="end"/>
          </w:r>
        </w:p>
      </w:sdtContent>
    </w:sdt>
    <w:p>
      <w:pPr>
        <w:widowControl/>
        <w:spacing w:line="440" w:lineRule="exact"/>
        <w:jc w:val="left"/>
        <w:rPr>
          <w:rFonts w:ascii="仿宋" w:hAnsi="仿宋" w:eastAsia="仿宋"/>
          <w:bCs/>
          <w:color w:val="auto"/>
          <w:kern w:val="44"/>
          <w:sz w:val="24"/>
          <w:highlight w:val="none"/>
        </w:rPr>
      </w:pPr>
      <w:bookmarkStart w:id="8" w:name="_Toc15377196"/>
      <w:bookmarkStart w:id="9" w:name="_Toc15396599"/>
      <w:r>
        <w:rPr>
          <w:rFonts w:ascii="仿宋" w:hAnsi="仿宋" w:eastAsia="仿宋"/>
          <w:b/>
          <w:color w:val="auto"/>
          <w:sz w:val="24"/>
          <w:highlight w:val="none"/>
        </w:rPr>
        <w:br w:type="page"/>
      </w:r>
    </w:p>
    <w:p>
      <w:pPr>
        <w:pStyle w:val="3"/>
        <w:jc w:val="center"/>
        <w:rPr>
          <w:rFonts w:ascii="黑体" w:eastAsia="黑体"/>
          <w:color w:val="auto"/>
          <w:sz w:val="32"/>
          <w:szCs w:val="32"/>
          <w:highlight w:val="none"/>
        </w:rPr>
      </w:pPr>
      <w:bookmarkStart w:id="10" w:name="_Toc16992"/>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8"/>
      <w:bookmarkEnd w:id="9"/>
      <w:bookmarkEnd w:id="10"/>
    </w:p>
    <w:p>
      <w:pPr>
        <w:pStyle w:val="4"/>
        <w:numPr>
          <w:ilvl w:val="0"/>
          <w:numId w:val="0"/>
        </w:numPr>
        <w:ind w:firstLine="640" w:firstLineChars="200"/>
        <w:rPr>
          <w:rStyle w:val="25"/>
          <w:rFonts w:hint="eastAsia" w:ascii="黑体" w:hAnsi="黑体" w:eastAsia="黑体"/>
          <w:b w:val="0"/>
          <w:bCs w:val="0"/>
          <w:color w:val="auto"/>
          <w:highlight w:val="none"/>
          <w:lang w:eastAsia="zh-CN"/>
        </w:rPr>
      </w:pPr>
      <w:bookmarkStart w:id="11" w:name="_Toc9637"/>
      <w:bookmarkStart w:id="12" w:name="_Toc15396600"/>
      <w:bookmarkStart w:id="13" w:name="_Toc15377197"/>
      <w:r>
        <w:rPr>
          <w:rFonts w:hint="eastAsia" w:ascii="黑体" w:hAnsi="黑体" w:eastAsia="黑体" w:cstheme="majorBidi"/>
          <w:b w:val="0"/>
          <w:bCs w:val="0"/>
          <w:color w:val="auto"/>
          <w:kern w:val="2"/>
          <w:sz w:val="32"/>
          <w:szCs w:val="32"/>
          <w:lang w:val="en-US" w:eastAsia="zh-CN" w:bidi="ar-SA"/>
        </w:rPr>
        <w:t>一、</w:t>
      </w:r>
      <w:r>
        <w:rPr>
          <w:rStyle w:val="25"/>
          <w:rFonts w:hint="eastAsia" w:ascii="黑体" w:hAnsi="黑体" w:eastAsia="黑体"/>
          <w:b w:val="0"/>
          <w:bCs w:val="0"/>
          <w:color w:val="auto"/>
          <w:highlight w:val="none"/>
          <w:lang w:eastAsia="zh-CN"/>
        </w:rPr>
        <w:t>主要职责</w:t>
      </w:r>
      <w:bookmarkEnd w:id="11"/>
    </w:p>
    <w:p>
      <w:pPr>
        <w:pStyle w:val="2"/>
        <w:ind w:firstLine="640" w:firstLineChars="200"/>
        <w:jc w:val="both"/>
        <w:rPr>
          <w:rFonts w:ascii="仿宋" w:eastAsia="仿宋" w:cs="宋体"/>
          <w:color w:val="000000"/>
          <w:kern w:val="0"/>
          <w:sz w:val="32"/>
          <w:szCs w:val="32"/>
          <w:shd w:val="clear" w:color="auto" w:fill="FFFFFF"/>
          <w:lang w:val="zh-CN"/>
        </w:rPr>
      </w:pPr>
      <w:r>
        <w:rPr>
          <w:rFonts w:hint="eastAsia" w:ascii="仿宋" w:eastAsia="仿宋" w:cs="宋体"/>
          <w:color w:val="000000"/>
          <w:kern w:val="0"/>
          <w:sz w:val="32"/>
          <w:szCs w:val="32"/>
          <w:shd w:val="clear" w:color="auto" w:fill="FFFFFF"/>
        </w:rPr>
        <w:t>1.</w:t>
      </w:r>
      <w:r>
        <w:rPr>
          <w:rFonts w:hint="eastAsia" w:ascii="仿宋" w:eastAsia="仿宋" w:cs="宋体"/>
          <w:color w:val="000000"/>
          <w:kern w:val="0"/>
          <w:sz w:val="32"/>
          <w:szCs w:val="32"/>
          <w:shd w:val="clear" w:color="auto" w:fill="FFFFFF"/>
          <w:lang w:val="zh-CN"/>
        </w:rPr>
        <w:t>贯彻执行党和国家有关文化、旅游、广播电视和文物工作的方针政策和法律法规，拟订相关政策措施并组织实施，起草有关地方性法规、规章草案，负责本部门依法行政工作。制定文化旅游产业发展的地方标准和行业规范并组织实施。</w:t>
      </w:r>
    </w:p>
    <w:p>
      <w:pPr>
        <w:pStyle w:val="2"/>
        <w:ind w:firstLine="640" w:firstLineChars="200"/>
        <w:jc w:val="both"/>
        <w:rPr>
          <w:rFonts w:ascii="仿宋" w:eastAsia="仿宋" w:cs="宋体"/>
          <w:color w:val="000000"/>
          <w:kern w:val="0"/>
          <w:sz w:val="32"/>
          <w:szCs w:val="32"/>
          <w:shd w:val="clear" w:color="auto" w:fill="FFFFFF"/>
          <w:lang w:val="zh-CN"/>
        </w:rPr>
      </w:pPr>
      <w:r>
        <w:rPr>
          <w:rFonts w:hint="eastAsia" w:ascii="仿宋" w:eastAsia="仿宋" w:cs="宋体"/>
          <w:color w:val="000000"/>
          <w:kern w:val="0"/>
          <w:sz w:val="32"/>
          <w:szCs w:val="32"/>
          <w:shd w:val="clear" w:color="auto" w:fill="FFFFFF"/>
        </w:rPr>
        <w:t>2.</w:t>
      </w:r>
      <w:r>
        <w:rPr>
          <w:rFonts w:hint="eastAsia" w:ascii="仿宋" w:eastAsia="仿宋" w:cs="宋体"/>
          <w:color w:val="000000"/>
          <w:kern w:val="0"/>
          <w:sz w:val="32"/>
          <w:szCs w:val="32"/>
          <w:shd w:val="clear" w:color="auto" w:fill="FFFFFF"/>
          <w:lang w:val="zh-CN"/>
        </w:rPr>
        <w:t>组织推动全市文化事业、文化产业、旅游业、广播电视事业和文物事业发展，拟订发展规划并组织实施。统筹中国生态康养旅游名市建设工作，推进全域旅游。推进文化和旅游体制机制改革，推进文化和旅游融合发展。</w:t>
      </w:r>
    </w:p>
    <w:p>
      <w:pPr>
        <w:pStyle w:val="2"/>
        <w:ind w:firstLine="640" w:firstLineChars="200"/>
        <w:jc w:val="both"/>
        <w:rPr>
          <w:rFonts w:ascii="仿宋" w:eastAsia="仿宋" w:cs="宋体"/>
          <w:color w:val="000000"/>
          <w:kern w:val="0"/>
          <w:sz w:val="32"/>
          <w:szCs w:val="32"/>
          <w:shd w:val="clear" w:color="auto" w:fill="FFFFFF"/>
          <w:lang w:val="zh-CN"/>
        </w:rPr>
      </w:pPr>
      <w:r>
        <w:rPr>
          <w:rFonts w:hint="eastAsia" w:ascii="仿宋" w:eastAsia="仿宋" w:cs="宋体"/>
          <w:color w:val="000000"/>
          <w:kern w:val="0"/>
          <w:sz w:val="32"/>
          <w:szCs w:val="32"/>
          <w:shd w:val="clear" w:color="auto" w:fill="FFFFFF"/>
        </w:rPr>
        <w:t>3.</w:t>
      </w:r>
      <w:r>
        <w:rPr>
          <w:rFonts w:hint="eastAsia" w:ascii="仿宋" w:eastAsia="仿宋" w:cs="宋体"/>
          <w:color w:val="000000"/>
          <w:kern w:val="0"/>
          <w:sz w:val="32"/>
          <w:szCs w:val="32"/>
          <w:shd w:val="clear" w:color="auto" w:fill="FFFFFF"/>
          <w:lang w:val="zh-CN"/>
        </w:rPr>
        <w:t xml:space="preserve">管理全市性重大文化、旅游、广播电视和文物活动，指导推进相关设施建设。 </w:t>
      </w:r>
    </w:p>
    <w:p>
      <w:pPr>
        <w:pStyle w:val="2"/>
        <w:ind w:firstLine="640" w:firstLineChars="200"/>
        <w:jc w:val="both"/>
        <w:rPr>
          <w:rFonts w:ascii="仿宋" w:eastAsia="仿宋" w:cs="宋体"/>
          <w:color w:val="000000"/>
          <w:kern w:val="0"/>
          <w:sz w:val="32"/>
          <w:szCs w:val="32"/>
          <w:shd w:val="clear" w:color="auto" w:fill="FFFFFF"/>
          <w:lang w:val="zh-CN"/>
        </w:rPr>
      </w:pPr>
      <w:r>
        <w:rPr>
          <w:rFonts w:hint="eastAsia" w:ascii="仿宋" w:eastAsia="仿宋" w:cs="宋体"/>
          <w:color w:val="000000"/>
          <w:kern w:val="0"/>
          <w:sz w:val="32"/>
          <w:szCs w:val="32"/>
          <w:shd w:val="clear" w:color="auto" w:fill="FFFFFF"/>
        </w:rPr>
        <w:t>4.</w:t>
      </w:r>
      <w:r>
        <w:rPr>
          <w:rFonts w:hint="eastAsia" w:ascii="仿宋" w:eastAsia="仿宋" w:cs="宋体"/>
          <w:color w:val="000000"/>
          <w:kern w:val="0"/>
          <w:sz w:val="32"/>
          <w:szCs w:val="32"/>
          <w:shd w:val="clear" w:color="auto" w:fill="FFFFFF"/>
          <w:lang w:val="zh-CN"/>
        </w:rPr>
        <w:t>指导管理文化艺术事业，推动艺术创作生产，扶持体现社会主义核心价值观、具有导向性代表性示范性的文艺作品，推动各门类艺术、各艺术品种发展，推动中华优秀传统文化、巴蜀文化和广元特色文化传承发展。</w:t>
      </w:r>
    </w:p>
    <w:p>
      <w:pPr>
        <w:pStyle w:val="2"/>
        <w:ind w:firstLine="640" w:firstLineChars="200"/>
        <w:jc w:val="both"/>
        <w:rPr>
          <w:rFonts w:ascii="仿宋" w:eastAsia="仿宋" w:cs="宋体"/>
          <w:color w:val="000000"/>
          <w:kern w:val="0"/>
          <w:sz w:val="32"/>
          <w:szCs w:val="32"/>
          <w:shd w:val="clear" w:color="auto" w:fill="FFFFFF"/>
          <w:lang w:val="zh-CN"/>
        </w:rPr>
      </w:pPr>
      <w:r>
        <w:rPr>
          <w:rFonts w:hint="eastAsia" w:ascii="仿宋" w:eastAsia="仿宋" w:cs="宋体"/>
          <w:color w:val="000000"/>
          <w:kern w:val="0"/>
          <w:sz w:val="32"/>
          <w:szCs w:val="32"/>
          <w:shd w:val="clear" w:color="auto" w:fill="FFFFFF"/>
        </w:rPr>
        <w:t>5.</w:t>
      </w:r>
      <w:r>
        <w:rPr>
          <w:rFonts w:hint="eastAsia" w:ascii="仿宋" w:eastAsia="仿宋" w:cs="宋体"/>
          <w:color w:val="000000"/>
          <w:kern w:val="0"/>
          <w:sz w:val="32"/>
          <w:szCs w:val="32"/>
          <w:shd w:val="clear" w:color="auto" w:fill="FFFFFF"/>
          <w:lang w:val="zh-CN"/>
        </w:rPr>
        <w:t>负责公共文化和广播电视事业发展，推进全市公共文化和广播电视服务体系建设及旅游公共服务建设，深入实施文化旅游和广播电视惠民工程，统筹推进基本公共服务标准化、均等化。</w:t>
      </w:r>
    </w:p>
    <w:p>
      <w:pPr>
        <w:pStyle w:val="2"/>
        <w:ind w:firstLine="640" w:firstLineChars="200"/>
        <w:jc w:val="both"/>
        <w:rPr>
          <w:rFonts w:ascii="仿宋" w:eastAsia="仿宋" w:cs="宋体"/>
          <w:color w:val="000000"/>
          <w:kern w:val="0"/>
          <w:sz w:val="32"/>
          <w:szCs w:val="32"/>
          <w:shd w:val="clear" w:color="auto" w:fill="FFFFFF"/>
          <w:lang w:val="zh-CN"/>
        </w:rPr>
      </w:pPr>
      <w:r>
        <w:rPr>
          <w:rFonts w:hint="eastAsia" w:ascii="仿宋" w:eastAsia="仿宋" w:cs="宋体"/>
          <w:color w:val="000000"/>
          <w:kern w:val="0"/>
          <w:sz w:val="32"/>
          <w:szCs w:val="32"/>
          <w:shd w:val="clear" w:color="auto" w:fill="FFFFFF"/>
        </w:rPr>
        <w:t>6.</w:t>
      </w:r>
      <w:r>
        <w:rPr>
          <w:rFonts w:hint="eastAsia" w:ascii="仿宋" w:eastAsia="仿宋" w:cs="宋体"/>
          <w:color w:val="000000"/>
          <w:kern w:val="0"/>
          <w:sz w:val="32"/>
          <w:szCs w:val="32"/>
          <w:shd w:val="clear" w:color="auto" w:fill="FFFFFF"/>
          <w:lang w:val="zh-CN"/>
        </w:rPr>
        <w:t>组织实施文化和旅游资源普查、挖掘、保护与利用工作，监测文化旅游经济运行，促进文化旅游产业发展。推进文化和旅游科技创新发展，推进文化和旅游行业信息化、标准化建设。负责文化旅游科技教育培训和人才培养工作。</w:t>
      </w:r>
    </w:p>
    <w:p>
      <w:pPr>
        <w:pStyle w:val="2"/>
        <w:ind w:firstLine="640" w:firstLineChars="200"/>
        <w:jc w:val="both"/>
        <w:rPr>
          <w:rFonts w:ascii="仿宋" w:eastAsia="仿宋" w:cs="宋体"/>
          <w:color w:val="000000"/>
          <w:kern w:val="0"/>
          <w:sz w:val="32"/>
          <w:szCs w:val="32"/>
          <w:shd w:val="clear" w:color="auto" w:fill="FFFFFF"/>
          <w:lang w:val="zh-CN"/>
        </w:rPr>
      </w:pPr>
      <w:r>
        <w:rPr>
          <w:rFonts w:hint="eastAsia" w:ascii="仿宋" w:eastAsia="仿宋" w:cs="宋体"/>
          <w:color w:val="000000"/>
          <w:kern w:val="0"/>
          <w:sz w:val="32"/>
          <w:szCs w:val="32"/>
          <w:shd w:val="clear" w:color="auto" w:fill="FFFFFF"/>
        </w:rPr>
        <w:t>7.</w:t>
      </w:r>
      <w:r>
        <w:rPr>
          <w:rFonts w:hint="eastAsia" w:ascii="仿宋" w:eastAsia="仿宋" w:cs="宋体"/>
          <w:color w:val="000000"/>
          <w:kern w:val="0"/>
          <w:sz w:val="32"/>
          <w:szCs w:val="32"/>
          <w:shd w:val="clear" w:color="auto" w:fill="FFFFFF"/>
          <w:lang w:val="zh-CN"/>
        </w:rPr>
        <w:t xml:space="preserve">负责非物质文化遗产保护，推动非物质文化遗产的保护、传承、普及、弘扬和振兴。 </w:t>
      </w:r>
    </w:p>
    <w:p>
      <w:pPr>
        <w:pStyle w:val="2"/>
        <w:ind w:firstLine="640" w:firstLineChars="200"/>
        <w:jc w:val="both"/>
        <w:rPr>
          <w:rFonts w:ascii="仿宋" w:eastAsia="仿宋" w:cs="宋体"/>
          <w:color w:val="000000"/>
          <w:kern w:val="0"/>
          <w:sz w:val="32"/>
          <w:szCs w:val="32"/>
          <w:shd w:val="clear" w:color="auto" w:fill="FFFFFF"/>
          <w:lang w:val="zh-CN"/>
        </w:rPr>
      </w:pPr>
      <w:r>
        <w:rPr>
          <w:rFonts w:hint="eastAsia" w:ascii="仿宋" w:eastAsia="仿宋" w:cs="宋体"/>
          <w:color w:val="000000"/>
          <w:kern w:val="0"/>
          <w:sz w:val="32"/>
          <w:szCs w:val="32"/>
          <w:shd w:val="clear" w:color="auto" w:fill="FFFFFF"/>
        </w:rPr>
        <w:t>8.</w:t>
      </w:r>
      <w:r>
        <w:rPr>
          <w:rFonts w:hint="eastAsia" w:ascii="仿宋" w:eastAsia="仿宋" w:cs="宋体"/>
          <w:color w:val="000000"/>
          <w:kern w:val="0"/>
          <w:sz w:val="32"/>
          <w:szCs w:val="32"/>
          <w:shd w:val="clear" w:color="auto" w:fill="FFFFFF"/>
          <w:lang w:val="zh-CN"/>
        </w:rPr>
        <w:t>管理和指导全市文物保护利用与考古工作。组织文物资源调查。负责组织遴选、申报市级（含市级）以上文物保护单位，指导地方文物保护单位申报等工作。推动全市文物和博物馆公共服务体系建设，指导监督博物馆和社会文物工作。组织实施申遗及管理工作。</w:t>
      </w:r>
    </w:p>
    <w:p>
      <w:pPr>
        <w:pStyle w:val="2"/>
        <w:ind w:firstLine="640" w:firstLineChars="200"/>
        <w:jc w:val="both"/>
        <w:rPr>
          <w:rFonts w:ascii="仿宋" w:eastAsia="仿宋" w:cs="宋体"/>
          <w:color w:val="000000"/>
          <w:kern w:val="0"/>
          <w:sz w:val="32"/>
          <w:szCs w:val="32"/>
          <w:shd w:val="clear" w:color="auto" w:fill="FFFFFF"/>
          <w:lang w:val="zh-CN"/>
        </w:rPr>
      </w:pPr>
      <w:r>
        <w:rPr>
          <w:rFonts w:hint="eastAsia" w:ascii="仿宋" w:eastAsia="仿宋" w:cs="宋体"/>
          <w:color w:val="000000"/>
          <w:kern w:val="0"/>
          <w:sz w:val="32"/>
          <w:szCs w:val="32"/>
          <w:shd w:val="clear" w:color="auto" w:fill="FFFFFF"/>
        </w:rPr>
        <w:t>9.</w:t>
      </w:r>
      <w:r>
        <w:rPr>
          <w:rFonts w:hint="eastAsia" w:ascii="仿宋" w:eastAsia="仿宋" w:cs="宋体"/>
          <w:color w:val="000000"/>
          <w:kern w:val="0"/>
          <w:sz w:val="32"/>
          <w:szCs w:val="32"/>
          <w:shd w:val="clear" w:color="auto" w:fill="FFFFFF"/>
          <w:lang w:val="zh-CN"/>
        </w:rPr>
        <w:t xml:space="preserve">指导文化和旅游市场发展，对文化和旅游市场进行行业监管，推进文化和旅游行业信用体系建设，依法规范文化和旅游市场。 </w:t>
      </w:r>
    </w:p>
    <w:p>
      <w:pPr>
        <w:pStyle w:val="2"/>
        <w:ind w:firstLine="640" w:firstLineChars="200"/>
        <w:jc w:val="both"/>
        <w:rPr>
          <w:rFonts w:ascii="仿宋" w:eastAsia="仿宋" w:cs="宋体"/>
          <w:color w:val="000000"/>
          <w:kern w:val="0"/>
          <w:sz w:val="32"/>
          <w:szCs w:val="32"/>
          <w:shd w:val="clear" w:color="auto" w:fill="FFFFFF"/>
          <w:lang w:val="zh-CN"/>
        </w:rPr>
      </w:pPr>
      <w:r>
        <w:rPr>
          <w:rFonts w:hint="eastAsia" w:ascii="仿宋" w:eastAsia="仿宋" w:cs="宋体"/>
          <w:color w:val="000000"/>
          <w:kern w:val="0"/>
          <w:sz w:val="32"/>
          <w:szCs w:val="32"/>
          <w:shd w:val="clear" w:color="auto" w:fill="FFFFFF"/>
        </w:rPr>
        <w:t>10.</w:t>
      </w:r>
      <w:r>
        <w:rPr>
          <w:rFonts w:hint="eastAsia" w:ascii="仿宋" w:eastAsia="仿宋" w:cs="宋体"/>
          <w:color w:val="000000"/>
          <w:kern w:val="0"/>
          <w:sz w:val="32"/>
          <w:szCs w:val="32"/>
          <w:shd w:val="clear" w:color="auto" w:fill="FFFFFF"/>
          <w:lang w:val="zh-CN"/>
        </w:rPr>
        <w:t>负责文化、旅游、广播电视和文物系统安全生产工作的综合协调与监督管理，对广播电视和文物系统、文化旅游园区、新业态安全生产和职业健康工作实施行业监督管理。制定职责范围内的安全生产年度监督检查计划并组织实施。</w:t>
      </w:r>
    </w:p>
    <w:p>
      <w:pPr>
        <w:pStyle w:val="2"/>
        <w:ind w:firstLine="640" w:firstLineChars="200"/>
        <w:jc w:val="both"/>
        <w:rPr>
          <w:rFonts w:ascii="仿宋" w:eastAsia="仿宋" w:cs="宋体"/>
          <w:color w:val="000000"/>
          <w:kern w:val="0"/>
          <w:sz w:val="32"/>
          <w:szCs w:val="32"/>
          <w:shd w:val="clear" w:color="auto" w:fill="FFFFFF"/>
          <w:lang w:val="zh-CN"/>
        </w:rPr>
      </w:pPr>
      <w:r>
        <w:rPr>
          <w:rFonts w:hint="eastAsia" w:ascii="仿宋" w:eastAsia="仿宋" w:cs="宋体"/>
          <w:color w:val="000000"/>
          <w:kern w:val="0"/>
          <w:sz w:val="32"/>
          <w:szCs w:val="32"/>
          <w:shd w:val="clear" w:color="auto" w:fill="FFFFFF"/>
        </w:rPr>
        <w:t>11.</w:t>
      </w:r>
      <w:r>
        <w:rPr>
          <w:rFonts w:hint="eastAsia" w:ascii="仿宋" w:eastAsia="仿宋" w:cs="宋体"/>
          <w:color w:val="000000"/>
          <w:kern w:val="0"/>
          <w:sz w:val="32"/>
          <w:szCs w:val="32"/>
          <w:shd w:val="clear" w:color="auto" w:fill="FFFFFF"/>
          <w:lang w:val="zh-CN"/>
        </w:rPr>
        <w:t xml:space="preserve">统筹全市文化市场综合执法工作，组织查处全市性、跨区域及辖区内文化、旅游、广播电视和文物等市场的违法行为，加强行业监管和督查督办，维护市场秩序。 </w:t>
      </w:r>
    </w:p>
    <w:p>
      <w:pPr>
        <w:pStyle w:val="2"/>
        <w:ind w:firstLine="640" w:firstLineChars="200"/>
        <w:jc w:val="both"/>
        <w:rPr>
          <w:rFonts w:ascii="仿宋" w:eastAsia="仿宋" w:cs="宋体"/>
          <w:color w:val="000000"/>
          <w:kern w:val="0"/>
          <w:sz w:val="32"/>
          <w:szCs w:val="32"/>
          <w:shd w:val="clear" w:color="auto" w:fill="FFFFFF"/>
          <w:lang w:val="zh-CN"/>
        </w:rPr>
      </w:pPr>
      <w:r>
        <w:rPr>
          <w:rFonts w:hint="eastAsia" w:ascii="仿宋" w:eastAsia="仿宋" w:cs="宋体"/>
          <w:color w:val="000000"/>
          <w:kern w:val="0"/>
          <w:sz w:val="32"/>
          <w:szCs w:val="32"/>
          <w:shd w:val="clear" w:color="auto" w:fill="FFFFFF"/>
        </w:rPr>
        <w:t>12.</w:t>
      </w:r>
      <w:r>
        <w:rPr>
          <w:rFonts w:hint="eastAsia" w:ascii="仿宋" w:eastAsia="仿宋" w:cs="宋体"/>
          <w:color w:val="000000"/>
          <w:kern w:val="0"/>
          <w:sz w:val="32"/>
          <w:szCs w:val="32"/>
          <w:shd w:val="clear" w:color="auto" w:fill="FFFFFF"/>
          <w:lang w:val="zh-CN"/>
        </w:rPr>
        <w:t xml:space="preserve">制订全市文化旅游客源市场开发战略并组织实施，组织广元整体文化旅游形象对外宣传和重大推广活动。 </w:t>
      </w:r>
    </w:p>
    <w:p>
      <w:pPr>
        <w:pStyle w:val="2"/>
        <w:ind w:firstLine="640" w:firstLineChars="200"/>
        <w:jc w:val="both"/>
        <w:rPr>
          <w:rFonts w:ascii="仿宋" w:eastAsia="仿宋" w:cs="宋体"/>
          <w:color w:val="000000"/>
          <w:kern w:val="0"/>
          <w:sz w:val="32"/>
          <w:szCs w:val="32"/>
          <w:shd w:val="clear" w:color="auto" w:fill="FFFFFF"/>
          <w:lang w:val="zh-CN"/>
        </w:rPr>
      </w:pPr>
      <w:r>
        <w:rPr>
          <w:rFonts w:hint="eastAsia" w:ascii="仿宋" w:eastAsia="仿宋" w:cs="宋体"/>
          <w:color w:val="000000"/>
          <w:kern w:val="0"/>
          <w:sz w:val="32"/>
          <w:szCs w:val="32"/>
          <w:shd w:val="clear" w:color="auto" w:fill="FFFFFF"/>
        </w:rPr>
        <w:t>13.</w:t>
      </w:r>
      <w:r>
        <w:rPr>
          <w:rFonts w:hint="eastAsia" w:ascii="仿宋" w:eastAsia="仿宋" w:cs="宋体"/>
          <w:color w:val="000000"/>
          <w:kern w:val="0"/>
          <w:sz w:val="32"/>
          <w:szCs w:val="32"/>
          <w:shd w:val="clear" w:color="auto" w:fill="FFFFFF"/>
          <w:lang w:val="zh-CN"/>
        </w:rPr>
        <w:t>指导全市广播电视宣传和创作题材规划，监督管理全市广播电视节目、信息网络视听节目和公共视听载体播放的视听节目，审查其内容和质量，负责全市广播电视节目的进口和收录管理。负责推进广播电视与新媒体新技术新业态融合发展，推进广电网与电信网、互联网三网融合。</w:t>
      </w:r>
    </w:p>
    <w:p>
      <w:pPr>
        <w:pStyle w:val="2"/>
        <w:ind w:firstLine="640" w:firstLineChars="200"/>
        <w:jc w:val="both"/>
        <w:rPr>
          <w:rFonts w:ascii="仿宋" w:eastAsia="仿宋" w:cs="宋体"/>
          <w:color w:val="000000"/>
          <w:kern w:val="0"/>
          <w:sz w:val="32"/>
          <w:szCs w:val="32"/>
          <w:shd w:val="clear" w:color="auto" w:fill="FFFFFF"/>
          <w:lang w:val="zh-CN"/>
        </w:rPr>
      </w:pPr>
      <w:r>
        <w:rPr>
          <w:rFonts w:hint="eastAsia" w:ascii="仿宋" w:eastAsia="仿宋" w:cs="宋体"/>
          <w:color w:val="000000"/>
          <w:kern w:val="0"/>
          <w:sz w:val="32"/>
          <w:szCs w:val="32"/>
          <w:shd w:val="clear" w:color="auto" w:fill="FFFFFF"/>
        </w:rPr>
        <w:t>14.</w:t>
      </w:r>
      <w:r>
        <w:rPr>
          <w:rFonts w:hint="eastAsia" w:ascii="仿宋" w:eastAsia="仿宋" w:cs="宋体"/>
          <w:color w:val="000000"/>
          <w:kern w:val="0"/>
          <w:sz w:val="32"/>
          <w:szCs w:val="32"/>
          <w:shd w:val="clear" w:color="auto" w:fill="FFFFFF"/>
          <w:lang w:val="zh-CN"/>
        </w:rPr>
        <w:t>负责对各类广播电视机构进行业务指导和行业监管，会同有关部门对网络视听节目服务机构进行管理。指导全市广播电视科技工作，负责全市广播电视节目传输、监测、安全播出和广播电视、信息网络视听节目服务机构及业务的监管，指导对从事广播电视节目制作民办机构的监管工作。</w:t>
      </w:r>
    </w:p>
    <w:p>
      <w:pPr>
        <w:pStyle w:val="2"/>
        <w:ind w:firstLine="640" w:firstLineChars="200"/>
        <w:jc w:val="both"/>
        <w:rPr>
          <w:rFonts w:ascii="仿宋" w:eastAsia="仿宋" w:cs="宋体"/>
          <w:color w:val="000000"/>
          <w:kern w:val="0"/>
          <w:sz w:val="32"/>
          <w:szCs w:val="32"/>
          <w:shd w:val="clear" w:color="auto" w:fill="FFFFFF"/>
          <w:lang w:val="zh-CN"/>
        </w:rPr>
      </w:pPr>
      <w:r>
        <w:rPr>
          <w:rFonts w:hint="eastAsia" w:ascii="仿宋" w:eastAsia="仿宋" w:cs="宋体"/>
          <w:color w:val="000000"/>
          <w:kern w:val="0"/>
          <w:sz w:val="32"/>
          <w:szCs w:val="32"/>
          <w:shd w:val="clear" w:color="auto" w:fill="FFFFFF"/>
        </w:rPr>
        <w:t>15.</w:t>
      </w:r>
      <w:r>
        <w:rPr>
          <w:rFonts w:hint="eastAsia" w:ascii="仿宋" w:eastAsia="仿宋" w:cs="宋体"/>
          <w:color w:val="000000"/>
          <w:kern w:val="0"/>
          <w:sz w:val="32"/>
          <w:szCs w:val="32"/>
          <w:shd w:val="clear" w:color="auto" w:fill="FFFFFF"/>
          <w:lang w:val="zh-CN"/>
        </w:rPr>
        <w:t xml:space="preserve">负责职责范围内的生态环境保护、审批服务便民化等工作。 </w:t>
      </w:r>
    </w:p>
    <w:p>
      <w:pPr>
        <w:pStyle w:val="2"/>
        <w:ind w:firstLine="640" w:firstLineChars="200"/>
        <w:jc w:val="both"/>
        <w:rPr>
          <w:rFonts w:ascii="仿宋" w:eastAsia="仿宋" w:cs="宋体"/>
          <w:color w:val="000000"/>
          <w:kern w:val="0"/>
          <w:sz w:val="32"/>
          <w:szCs w:val="32"/>
          <w:shd w:val="clear" w:color="auto" w:fill="FFFFFF"/>
          <w:lang w:val="zh-CN"/>
        </w:rPr>
      </w:pPr>
      <w:r>
        <w:rPr>
          <w:rFonts w:hint="eastAsia" w:ascii="仿宋" w:eastAsia="仿宋" w:cs="宋体"/>
          <w:color w:val="000000"/>
          <w:kern w:val="0"/>
          <w:sz w:val="32"/>
          <w:szCs w:val="32"/>
          <w:shd w:val="clear" w:color="auto" w:fill="FFFFFF"/>
        </w:rPr>
        <w:t>16.</w:t>
      </w:r>
      <w:r>
        <w:rPr>
          <w:rFonts w:hint="eastAsia" w:ascii="仿宋" w:eastAsia="仿宋" w:cs="宋体"/>
          <w:color w:val="000000"/>
          <w:kern w:val="0"/>
          <w:sz w:val="32"/>
          <w:szCs w:val="32"/>
          <w:shd w:val="clear" w:color="auto" w:fill="FFFFFF"/>
          <w:lang w:val="zh-CN"/>
        </w:rPr>
        <w:t xml:space="preserve">完成市委、市政府交办的其他任务。 </w:t>
      </w:r>
    </w:p>
    <w:p>
      <w:pPr>
        <w:pStyle w:val="6"/>
        <w:adjustRightInd w:val="0"/>
        <w:snapToGrid w:val="0"/>
        <w:spacing w:before="93" w:beforeLines="0" w:line="600" w:lineRule="exact"/>
        <w:ind w:firstLine="668" w:firstLineChars="209"/>
        <w:outlineLvl w:val="2"/>
        <w:rPr>
          <w:rFonts w:hint="eastAsia"/>
          <w:lang w:eastAsia="zh-CN"/>
        </w:rPr>
      </w:pPr>
      <w:bookmarkStart w:id="14" w:name="_Toc31231"/>
      <w:r>
        <w:rPr>
          <w:rFonts w:hint="eastAsia" w:cs="宋体"/>
          <w:color w:val="000000"/>
          <w:sz w:val="32"/>
          <w:szCs w:val="32"/>
          <w:shd w:val="clear" w:color="auto" w:fill="FFFFFF"/>
        </w:rPr>
        <w:t>17.</w:t>
      </w:r>
      <w:r>
        <w:rPr>
          <w:rFonts w:hint="eastAsia" w:cs="宋体"/>
          <w:color w:val="000000"/>
          <w:sz w:val="32"/>
          <w:szCs w:val="32"/>
          <w:shd w:val="clear" w:color="auto" w:fill="FFFFFF"/>
          <w:lang w:val="zh-CN"/>
        </w:rPr>
        <w:t>职能转变。以人民美好生活为引导，统筹推进文化事业、文化产业、旅游业、广播电视事业融合发展和文物保护利用传承。用好文化创意、科技创新和社会投资等新动能，促进文化、旅游、广播电视和文物与相关产业融合发展。巩固旅游业的战略性支柱产业地位，提升国家文化软实力、国际旅游竞争力。</w:t>
      </w:r>
      <w:bookmarkEnd w:id="14"/>
    </w:p>
    <w:p>
      <w:pPr>
        <w:pStyle w:val="4"/>
        <w:numPr>
          <w:ilvl w:val="0"/>
          <w:numId w:val="0"/>
        </w:numPr>
        <w:ind w:firstLine="640" w:firstLineChars="200"/>
        <w:rPr>
          <w:rFonts w:hint="eastAsia" w:ascii="黑体" w:hAnsi="黑体" w:eastAsia="黑体"/>
          <w:b w:val="0"/>
          <w:color w:val="auto"/>
          <w:highlight w:val="none"/>
          <w:lang w:val="en-US" w:eastAsia="zh-CN"/>
        </w:rPr>
      </w:pPr>
      <w:bookmarkStart w:id="15" w:name="_Toc25570"/>
      <w:r>
        <w:rPr>
          <w:rFonts w:hint="eastAsia" w:ascii="黑体" w:hAnsi="黑体" w:eastAsia="黑体"/>
          <w:b w:val="0"/>
          <w:color w:val="auto"/>
          <w:highlight w:val="none"/>
          <w:lang w:val="en-US" w:eastAsia="zh-CN"/>
        </w:rPr>
        <w:t>二、机构设置</w:t>
      </w:r>
      <w:bookmarkEnd w:id="15"/>
    </w:p>
    <w:bookmarkEnd w:id="12"/>
    <w:bookmarkEnd w:id="13"/>
    <w:p>
      <w:pPr>
        <w:spacing w:line="576" w:lineRule="exact"/>
        <w:ind w:firstLine="640" w:firstLineChars="200"/>
        <w:rPr>
          <w:rFonts w:ascii="仿宋" w:hAnsi="仿宋" w:eastAsia="仿宋"/>
          <w:color w:val="auto"/>
          <w:kern w:val="0"/>
          <w:sz w:val="32"/>
          <w:szCs w:val="32"/>
          <w:highlight w:val="none"/>
        </w:rPr>
      </w:pPr>
      <w:r>
        <w:rPr>
          <w:rFonts w:hint="eastAsia" w:ascii="仿宋" w:hAnsi="Times New Roman" w:eastAsia="仿宋" w:cs="宋体"/>
          <w:color w:val="000000"/>
          <w:kern w:val="0"/>
          <w:sz w:val="32"/>
          <w:szCs w:val="32"/>
          <w:shd w:val="clear" w:color="auto" w:fill="FFFFFF"/>
          <w:lang w:val="en-US" w:eastAsia="zh-CN" w:bidi="ar-SA"/>
        </w:rPr>
        <w:t>广元市文化广播电视和旅游局部门</w:t>
      </w:r>
      <w:r>
        <w:rPr>
          <w:rFonts w:hint="eastAsia" w:ascii="仿宋" w:eastAsia="仿宋" w:cs="宋体"/>
          <w:color w:val="000000"/>
          <w:kern w:val="0"/>
          <w:sz w:val="32"/>
          <w:szCs w:val="32"/>
          <w:shd w:val="clear" w:color="auto" w:fill="FFFFFF"/>
          <w:lang w:val="en-US" w:eastAsia="zh-CN" w:bidi="ar-SA"/>
        </w:rPr>
        <w:t>决</w:t>
      </w:r>
      <w:r>
        <w:rPr>
          <w:rFonts w:hint="eastAsia" w:ascii="仿宋" w:hAnsi="Times New Roman" w:eastAsia="仿宋" w:cs="宋体"/>
          <w:color w:val="000000"/>
          <w:kern w:val="0"/>
          <w:sz w:val="32"/>
          <w:szCs w:val="32"/>
          <w:shd w:val="clear" w:color="auto" w:fill="FFFFFF"/>
          <w:lang w:val="en-US" w:eastAsia="zh-CN" w:bidi="ar-SA"/>
        </w:rPr>
        <w:t>算包括：局本级</w:t>
      </w:r>
      <w:r>
        <w:rPr>
          <w:rFonts w:hint="eastAsia" w:ascii="仿宋" w:eastAsia="仿宋" w:cs="宋体"/>
          <w:color w:val="000000"/>
          <w:kern w:val="0"/>
          <w:sz w:val="32"/>
          <w:szCs w:val="32"/>
          <w:shd w:val="clear" w:color="auto" w:fill="FFFFFF"/>
          <w:lang w:val="en-US" w:eastAsia="zh-CN" w:bidi="ar-SA"/>
        </w:rPr>
        <w:t>决</w:t>
      </w:r>
      <w:r>
        <w:rPr>
          <w:rFonts w:hint="eastAsia" w:ascii="仿宋" w:hAnsi="Times New Roman" w:eastAsia="仿宋" w:cs="宋体"/>
          <w:color w:val="000000"/>
          <w:kern w:val="0"/>
          <w:sz w:val="32"/>
          <w:szCs w:val="32"/>
          <w:shd w:val="clear" w:color="auto" w:fill="FFFFFF"/>
          <w:lang w:val="en-US" w:eastAsia="zh-CN" w:bidi="ar-SA"/>
        </w:rPr>
        <w:t>算。</w:t>
      </w:r>
    </w:p>
    <w:p>
      <w:pPr>
        <w:pStyle w:val="3"/>
        <w:ind w:right="440"/>
        <w:jc w:val="center"/>
        <w:rPr>
          <w:color w:val="auto"/>
          <w:highlight w:val="none"/>
        </w:rPr>
      </w:pPr>
      <w:bookmarkStart w:id="16" w:name="_Toc15377204"/>
      <w:bookmarkStart w:id="17" w:name="_Toc15396602"/>
      <w:bookmarkStart w:id="18" w:name="_Toc3345"/>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16"/>
      <w:bookmarkEnd w:id="17"/>
      <w:bookmarkEnd w:id="18"/>
    </w:p>
    <w:p>
      <w:pPr>
        <w:pStyle w:val="23"/>
        <w:numPr>
          <w:ilvl w:val="0"/>
          <w:numId w:val="0"/>
        </w:numPr>
        <w:spacing w:line="600" w:lineRule="exact"/>
        <w:ind w:firstLine="640" w:firstLineChars="200"/>
        <w:outlineLvl w:val="1"/>
        <w:rPr>
          <w:rStyle w:val="25"/>
          <w:rFonts w:ascii="黑体" w:hAnsi="黑体" w:eastAsia="黑体"/>
          <w:b w:val="0"/>
          <w:color w:val="auto"/>
          <w:highlight w:val="none"/>
        </w:rPr>
      </w:pPr>
      <w:bookmarkStart w:id="19" w:name="_Toc15377205"/>
      <w:bookmarkStart w:id="20" w:name="_Toc15396603"/>
      <w:bookmarkStart w:id="21" w:name="_Toc18928"/>
      <w:r>
        <w:rPr>
          <w:rFonts w:hint="default" w:ascii="黑体" w:hAnsi="黑体" w:eastAsia="黑体" w:cstheme="majorBidi"/>
          <w:b w:val="0"/>
          <w:bCs/>
          <w:color w:val="auto"/>
          <w:kern w:val="2"/>
          <w:sz w:val="32"/>
          <w:szCs w:val="32"/>
          <w:lang w:val="en-US" w:eastAsia="zh-CN" w:bidi="ar-SA"/>
        </w:rPr>
        <w:t>一、</w:t>
      </w:r>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19"/>
      <w:bookmarkEnd w:id="20"/>
      <w:bookmarkEnd w:id="21"/>
    </w:p>
    <w:p>
      <w:pPr>
        <w:keepNext/>
        <w:keepLines/>
        <w:spacing w:beforeLines="0" w:afterLines="0" w:line="576" w:lineRule="exact"/>
        <w:ind w:firstLine="640"/>
        <w:jc w:val="both"/>
        <w:rPr>
          <w:rFonts w:hint="eastAsia" w:ascii="仿宋" w:hAnsi="仿宋" w:eastAsia="仿宋"/>
          <w:color w:val="auto"/>
          <w:sz w:val="32"/>
          <w:szCs w:val="32"/>
          <w:highlight w:val="none"/>
          <w:lang w:eastAsia="zh-CN"/>
        </w:rPr>
      </w:pPr>
      <w:r>
        <w:rPr>
          <w:rFonts w:hint="eastAsia" w:ascii="仿宋" w:hAnsi="仿宋" w:eastAsia="仿宋"/>
          <w:color w:val="000000"/>
          <w:kern w:val="2"/>
          <w:sz w:val="32"/>
          <w:szCs w:val="24"/>
          <w:lang w:val="zh-CN"/>
        </w:rPr>
        <w:t>2022年度收、支总计8541.25万元。与2021年相比，收</w:t>
      </w:r>
      <w:r>
        <w:rPr>
          <w:rFonts w:hint="eastAsia" w:ascii="仿宋" w:hAnsi="仿宋" w:eastAsia="仿宋"/>
          <w:color w:val="auto"/>
          <w:kern w:val="2"/>
          <w:sz w:val="32"/>
          <w:szCs w:val="24"/>
          <w:lang w:val="zh-CN"/>
        </w:rPr>
        <w:t>、支总计各减少1502.76万元，下降15%。主要变动原因：</w:t>
      </w:r>
      <w:r>
        <w:rPr>
          <w:rFonts w:hint="eastAsia" w:ascii="仿宋" w:hAnsi="仿宋" w:eastAsia="仿宋"/>
          <w:color w:val="auto"/>
          <w:sz w:val="32"/>
          <w:szCs w:val="32"/>
        </w:rPr>
        <w:t>一是航线轧差项目支出减少</w:t>
      </w:r>
      <w:r>
        <w:rPr>
          <w:rFonts w:hint="eastAsia" w:ascii="仿宋" w:hAnsi="仿宋" w:eastAsia="仿宋"/>
          <w:color w:val="auto"/>
          <w:sz w:val="32"/>
          <w:szCs w:val="32"/>
          <w:lang w:val="en-US" w:eastAsia="zh-CN"/>
        </w:rPr>
        <w:t>1300</w:t>
      </w:r>
      <w:r>
        <w:rPr>
          <w:rFonts w:hint="eastAsia" w:ascii="仿宋" w:hAnsi="仿宋" w:eastAsia="仿宋"/>
          <w:color w:val="auto"/>
          <w:sz w:val="32"/>
          <w:szCs w:val="32"/>
        </w:rPr>
        <w:t>余万元</w:t>
      </w:r>
      <w:r>
        <w:rPr>
          <w:rFonts w:hint="eastAsia" w:ascii="仿宋" w:hAnsi="仿宋" w:eastAsia="仿宋"/>
          <w:color w:val="auto"/>
          <w:sz w:val="32"/>
          <w:szCs w:val="32"/>
          <w:lang w:eastAsia="zh-CN"/>
        </w:rPr>
        <w:t>；</w:t>
      </w:r>
      <w:r>
        <w:rPr>
          <w:rFonts w:hint="eastAsia" w:ascii="仿宋" w:hAnsi="仿宋" w:eastAsia="仿宋"/>
          <w:color w:val="auto"/>
          <w:sz w:val="32"/>
          <w:szCs w:val="32"/>
        </w:rPr>
        <w:t>二是人员减少，基本支出减少</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三是单位文化活动、文化和旅游市场管理支出减少</w:t>
      </w:r>
      <w:r>
        <w:rPr>
          <w:rFonts w:hint="eastAsia" w:ascii="仿宋" w:hAnsi="仿宋" w:eastAsia="仿宋"/>
          <w:color w:val="auto"/>
          <w:kern w:val="2"/>
          <w:sz w:val="32"/>
          <w:szCs w:val="24"/>
          <w:lang w:val="zh-CN"/>
        </w:rPr>
        <w:t>。</w:t>
      </w:r>
    </w:p>
    <w:p>
      <w:pPr>
        <w:pStyle w:val="2"/>
        <w:rPr>
          <w:rFonts w:hint="eastAsia"/>
          <w:lang w:eastAsia="zh-CN"/>
        </w:rPr>
      </w:pPr>
      <w:r>
        <w:drawing>
          <wp:inline distT="0" distB="0" distL="114300" distR="114300">
            <wp:extent cx="4572000" cy="2825750"/>
            <wp:effectExtent l="4445" t="4445" r="14605" b="8255"/>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jc w:val="center"/>
        <w:rPr>
          <w:rFonts w:asci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pStyle w:val="23"/>
        <w:numPr>
          <w:ilvl w:val="0"/>
          <w:numId w:val="0"/>
        </w:numPr>
        <w:spacing w:line="600" w:lineRule="exact"/>
        <w:ind w:firstLine="640" w:firstLineChars="200"/>
        <w:outlineLvl w:val="1"/>
        <w:rPr>
          <w:rStyle w:val="25"/>
          <w:rFonts w:hint="eastAsia" w:ascii="黑体" w:hAnsi="黑体" w:eastAsia="黑体"/>
          <w:b w:val="0"/>
          <w:color w:val="auto"/>
          <w:highlight w:val="none"/>
        </w:rPr>
      </w:pPr>
      <w:bookmarkStart w:id="22" w:name="_Toc15396604"/>
      <w:bookmarkStart w:id="23" w:name="_Toc25406"/>
      <w:bookmarkStart w:id="24" w:name="_Toc15377206"/>
      <w:r>
        <w:rPr>
          <w:rFonts w:hint="default" w:ascii="黑体" w:hAnsi="黑体" w:eastAsia="黑体" w:cstheme="majorBidi"/>
          <w:b w:val="0"/>
          <w:bCs/>
          <w:color w:val="auto"/>
          <w:kern w:val="2"/>
          <w:sz w:val="32"/>
          <w:szCs w:val="32"/>
          <w:lang w:val="en-US" w:eastAsia="zh-CN" w:bidi="ar-SA"/>
        </w:rPr>
        <w:t>二、</w:t>
      </w:r>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2"/>
      <w:bookmarkEnd w:id="23"/>
      <w:bookmarkEnd w:id="24"/>
    </w:p>
    <w:p>
      <w:pPr>
        <w:pStyle w:val="23"/>
        <w:numPr>
          <w:ilvl w:val="0"/>
          <w:numId w:val="0"/>
        </w:numPr>
        <w:spacing w:line="600" w:lineRule="exact"/>
        <w:ind w:firstLine="640" w:firstLineChars="200"/>
        <w:outlineLvl w:val="1"/>
        <w:rPr>
          <w:rFonts w:hint="eastAsia" w:ascii="仿宋" w:hAnsi="仿宋" w:eastAsia="仿宋"/>
          <w:color w:val="000000"/>
          <w:kern w:val="2"/>
          <w:sz w:val="32"/>
          <w:szCs w:val="24"/>
          <w:lang w:val="zh-CN"/>
        </w:rPr>
      </w:pPr>
      <w:r>
        <w:rPr>
          <w:rFonts w:hint="eastAsia" w:ascii="仿宋" w:hAnsi="仿宋" w:eastAsia="仿宋"/>
          <w:color w:val="000000"/>
          <w:kern w:val="2"/>
          <w:sz w:val="32"/>
          <w:szCs w:val="24"/>
          <w:lang w:val="zh-CN"/>
        </w:rPr>
        <w:t>2022年本年收入合计8325.82万元，其中：一般公共预算财政拨款收入8324.09万元，占</w:t>
      </w:r>
      <w:r>
        <w:rPr>
          <w:rFonts w:hint="eastAsia" w:ascii="仿宋" w:hAnsi="仿宋" w:eastAsia="仿宋"/>
          <w:color w:val="000000"/>
          <w:kern w:val="2"/>
          <w:sz w:val="32"/>
          <w:szCs w:val="24"/>
          <w:lang w:val="en-US" w:eastAsia="zh-CN"/>
        </w:rPr>
        <w:t>99.98</w:t>
      </w:r>
      <w:r>
        <w:rPr>
          <w:rFonts w:hint="eastAsia" w:ascii="仿宋" w:hAnsi="仿宋" w:eastAsia="仿宋"/>
          <w:color w:val="000000"/>
          <w:kern w:val="2"/>
          <w:sz w:val="32"/>
          <w:szCs w:val="24"/>
          <w:lang w:val="zh-CN"/>
        </w:rPr>
        <w:t>%；其他收入1.73万元，占0</w:t>
      </w:r>
      <w:r>
        <w:rPr>
          <w:rFonts w:hint="eastAsia" w:ascii="仿宋" w:hAnsi="仿宋" w:eastAsia="仿宋"/>
          <w:color w:val="000000"/>
          <w:kern w:val="2"/>
          <w:sz w:val="32"/>
          <w:szCs w:val="24"/>
          <w:lang w:val="en-US" w:eastAsia="zh-CN"/>
        </w:rPr>
        <w:t>.02</w:t>
      </w:r>
      <w:r>
        <w:rPr>
          <w:rFonts w:hint="eastAsia" w:ascii="仿宋" w:hAnsi="仿宋" w:eastAsia="仿宋"/>
          <w:color w:val="000000"/>
          <w:kern w:val="2"/>
          <w:sz w:val="32"/>
          <w:szCs w:val="24"/>
          <w:lang w:val="zh-CN"/>
        </w:rPr>
        <w:t>%。</w:t>
      </w:r>
    </w:p>
    <w:p>
      <w:pPr>
        <w:pStyle w:val="2"/>
      </w:pPr>
      <w:r>
        <w:drawing>
          <wp:inline distT="0" distB="0" distL="114300" distR="114300">
            <wp:extent cx="4572000" cy="2623820"/>
            <wp:effectExtent l="4445" t="4445" r="14605" b="19685"/>
            <wp:docPr id="2"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jc w:val="center"/>
        <w:rPr>
          <w:rFonts w:ascii="仿宋" w:eastAsia="仿宋"/>
          <w:color w:val="auto"/>
          <w:sz w:val="32"/>
          <w:szCs w:val="32"/>
          <w:highlight w:val="none"/>
        </w:rPr>
      </w:pPr>
      <w:r>
        <w:rPr>
          <w:rFonts w:hint="eastAsia" w:ascii="仿宋" w:hAnsi="仿宋" w:eastAsia="仿宋"/>
          <w:color w:val="auto"/>
          <w:sz w:val="32"/>
          <w:szCs w:val="32"/>
          <w:highlight w:val="none"/>
        </w:rPr>
        <w:t>（图2：收入决算结构图）</w:t>
      </w:r>
    </w:p>
    <w:p>
      <w:pPr>
        <w:pStyle w:val="23"/>
        <w:numPr>
          <w:ilvl w:val="0"/>
          <w:numId w:val="0"/>
        </w:numPr>
        <w:spacing w:line="600" w:lineRule="exact"/>
        <w:ind w:firstLine="640" w:firstLineChars="200"/>
        <w:outlineLvl w:val="1"/>
        <w:rPr>
          <w:rStyle w:val="25"/>
          <w:rFonts w:ascii="黑体" w:hAnsi="黑体" w:eastAsia="黑体"/>
          <w:b w:val="0"/>
          <w:color w:val="auto"/>
          <w:highlight w:val="none"/>
        </w:rPr>
      </w:pPr>
      <w:bookmarkStart w:id="25" w:name="_Toc15396605"/>
      <w:bookmarkStart w:id="26" w:name="_Toc8593"/>
      <w:bookmarkStart w:id="27" w:name="_Toc15377207"/>
      <w:r>
        <w:rPr>
          <w:rFonts w:hint="default" w:ascii="黑体" w:hAnsi="黑体" w:eastAsia="黑体" w:cstheme="majorBidi"/>
          <w:b w:val="0"/>
          <w:bCs/>
          <w:color w:val="auto"/>
          <w:kern w:val="2"/>
          <w:sz w:val="32"/>
          <w:szCs w:val="32"/>
          <w:lang w:val="en-US" w:eastAsia="zh-CN" w:bidi="ar-SA"/>
        </w:rPr>
        <w:t>三、</w:t>
      </w:r>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25"/>
      <w:bookmarkEnd w:id="26"/>
      <w:bookmarkEnd w:id="27"/>
    </w:p>
    <w:p>
      <w:pPr>
        <w:keepNext/>
        <w:keepLines/>
        <w:spacing w:beforeLines="0" w:afterLines="0" w:line="576" w:lineRule="exact"/>
        <w:ind w:firstLine="640"/>
        <w:jc w:val="both"/>
        <w:rPr>
          <w:rFonts w:hint="eastAsia" w:ascii="仿宋" w:hAnsi="仿宋" w:eastAsia="仿宋"/>
          <w:color w:val="000000"/>
          <w:kern w:val="2"/>
          <w:sz w:val="32"/>
          <w:szCs w:val="24"/>
          <w:lang w:val="zh-CN"/>
        </w:rPr>
      </w:pPr>
      <w:r>
        <w:rPr>
          <w:rFonts w:hint="eastAsia" w:ascii="仿宋" w:hAnsi="仿宋" w:eastAsia="仿宋"/>
          <w:color w:val="000000"/>
          <w:kern w:val="2"/>
          <w:sz w:val="32"/>
          <w:szCs w:val="24"/>
          <w:lang w:val="zh-CN"/>
        </w:rPr>
        <w:t>2022年本年支出合计8488.24万元，其中：基本支出1244.35万元，占14.7%；项目支出7243.89万元，占85.3%。</w:t>
      </w:r>
    </w:p>
    <w:p>
      <w:pPr>
        <w:pStyle w:val="2"/>
      </w:pPr>
      <w:r>
        <w:drawing>
          <wp:inline distT="0" distB="0" distL="114300" distR="114300">
            <wp:extent cx="4572000" cy="2552065"/>
            <wp:effectExtent l="4445" t="4445" r="14605" b="15240"/>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jc w:val="center"/>
        <w:rPr>
          <w:rFonts w:hint="eastAsia" w:ascii="黑体" w:hAnsi="黑体" w:eastAsia="黑体"/>
          <w:color w:val="auto"/>
          <w:sz w:val="32"/>
          <w:szCs w:val="32"/>
          <w:highlight w:val="none"/>
        </w:rPr>
      </w:pPr>
      <w:r>
        <w:rPr>
          <w:rFonts w:hint="eastAsia" w:ascii="仿宋" w:hAnsi="仿宋" w:eastAsia="仿宋"/>
          <w:color w:val="auto"/>
          <w:sz w:val="32"/>
          <w:szCs w:val="32"/>
          <w:highlight w:val="none"/>
        </w:rPr>
        <w:t>（图3：支出决算结构图）</w:t>
      </w:r>
      <w:bookmarkStart w:id="28" w:name="_Toc17206"/>
      <w:bookmarkStart w:id="29" w:name="_Toc15396606"/>
      <w:bookmarkStart w:id="30" w:name="_Toc15377208"/>
    </w:p>
    <w:p>
      <w:pPr>
        <w:spacing w:line="600" w:lineRule="exact"/>
        <w:ind w:firstLine="640" w:firstLineChars="200"/>
        <w:outlineLvl w:val="1"/>
        <w:rPr>
          <w:rStyle w:val="25"/>
          <w:rFonts w:ascii="黑体" w:hAnsi="黑体" w:eastAsia="黑体"/>
          <w:b w:val="0"/>
          <w:color w:val="auto"/>
          <w:highlight w:val="none"/>
        </w:rPr>
      </w:pPr>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28"/>
      <w:bookmarkEnd w:id="29"/>
      <w:bookmarkEnd w:id="30"/>
    </w:p>
    <w:p>
      <w:pPr>
        <w:spacing w:beforeLines="0" w:afterLines="0" w:line="576" w:lineRule="exact"/>
        <w:ind w:firstLine="640"/>
        <w:jc w:val="both"/>
        <w:rPr>
          <w:rFonts w:ascii="仿宋" w:hAnsi="仿宋" w:eastAsia="仿宋"/>
          <w:color w:val="auto"/>
          <w:sz w:val="32"/>
          <w:szCs w:val="32"/>
          <w:highlight w:val="none"/>
        </w:rPr>
      </w:pPr>
      <w:r>
        <w:rPr>
          <w:rFonts w:hint="eastAsia" w:ascii="仿宋" w:hAnsi="仿宋" w:eastAsia="仿宋"/>
          <w:color w:val="000000"/>
          <w:kern w:val="2"/>
          <w:sz w:val="32"/>
          <w:szCs w:val="24"/>
          <w:lang w:val="zh-CN"/>
        </w:rPr>
        <w:t>2022年财政拨款收、支总计8539.52万元。与2021年相比，财政拨款收、支总计各减少1497.68万元，下降14.9%。</w:t>
      </w:r>
      <w:r>
        <w:rPr>
          <w:rFonts w:hint="eastAsia" w:ascii="仿宋" w:hAnsi="仿宋" w:eastAsia="仿宋"/>
          <w:color w:val="auto"/>
          <w:kern w:val="2"/>
          <w:sz w:val="32"/>
          <w:szCs w:val="24"/>
          <w:lang w:val="zh-CN"/>
        </w:rPr>
        <w:t>主要变动原因是</w:t>
      </w:r>
      <w:r>
        <w:rPr>
          <w:rFonts w:hint="eastAsia" w:ascii="仿宋" w:hAnsi="仿宋" w:eastAsia="仿宋"/>
          <w:color w:val="auto"/>
          <w:sz w:val="32"/>
          <w:szCs w:val="32"/>
        </w:rPr>
        <w:t>一是航线轧差项目支出减少</w:t>
      </w:r>
      <w:r>
        <w:rPr>
          <w:rFonts w:hint="eastAsia" w:ascii="仿宋" w:hAnsi="仿宋" w:eastAsia="仿宋"/>
          <w:color w:val="auto"/>
          <w:sz w:val="32"/>
          <w:szCs w:val="32"/>
          <w:lang w:val="en-US" w:eastAsia="zh-CN"/>
        </w:rPr>
        <w:t>1300</w:t>
      </w:r>
      <w:r>
        <w:rPr>
          <w:rFonts w:hint="eastAsia" w:ascii="仿宋" w:hAnsi="仿宋" w:eastAsia="仿宋"/>
          <w:color w:val="auto"/>
          <w:sz w:val="32"/>
          <w:szCs w:val="32"/>
        </w:rPr>
        <w:t>余万元</w:t>
      </w:r>
      <w:r>
        <w:rPr>
          <w:rFonts w:hint="eastAsia" w:ascii="仿宋" w:hAnsi="仿宋" w:eastAsia="仿宋"/>
          <w:color w:val="auto"/>
          <w:sz w:val="32"/>
          <w:szCs w:val="32"/>
          <w:lang w:eastAsia="zh-CN"/>
        </w:rPr>
        <w:t>；</w:t>
      </w:r>
      <w:r>
        <w:rPr>
          <w:rFonts w:hint="eastAsia" w:ascii="仿宋" w:hAnsi="仿宋" w:eastAsia="仿宋"/>
          <w:color w:val="auto"/>
          <w:sz w:val="32"/>
          <w:szCs w:val="32"/>
        </w:rPr>
        <w:t>二是人员减少，基本支出减少</w:t>
      </w:r>
      <w:r>
        <w:rPr>
          <w:rFonts w:hint="eastAsia" w:ascii="仿宋" w:hAnsi="仿宋" w:eastAsia="仿宋"/>
          <w:color w:val="auto"/>
          <w:kern w:val="2"/>
          <w:sz w:val="32"/>
          <w:szCs w:val="24"/>
          <w:lang w:val="zh-CN"/>
        </w:rPr>
        <w:t>。</w:t>
      </w:r>
    </w:p>
    <w:p>
      <w:pPr>
        <w:pStyle w:val="2"/>
        <w:jc w:val="center"/>
      </w:pPr>
      <w:r>
        <w:drawing>
          <wp:inline distT="0" distB="0" distL="114300" distR="114300">
            <wp:extent cx="5247640" cy="2724785"/>
            <wp:effectExtent l="4445" t="4445" r="5715" b="13970"/>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pPr>
      <w:r>
        <w:rPr>
          <w:rFonts w:hint="eastAsia" w:ascii="仿宋" w:hAnsi="仿宋" w:eastAsia="仿宋"/>
          <w:color w:val="auto"/>
          <w:sz w:val="32"/>
          <w:szCs w:val="32"/>
          <w:highlight w:val="none"/>
        </w:rPr>
        <w:t>（图4：财政拨款收、支决算总计变动情况）</w:t>
      </w:r>
    </w:p>
    <w:p>
      <w:pPr>
        <w:spacing w:line="600" w:lineRule="exact"/>
        <w:ind w:firstLine="640" w:firstLineChars="200"/>
        <w:outlineLvl w:val="1"/>
        <w:rPr>
          <w:rStyle w:val="25"/>
          <w:rFonts w:ascii="黑体" w:hAnsi="黑体" w:eastAsia="黑体"/>
          <w:b w:val="0"/>
          <w:color w:val="auto"/>
          <w:highlight w:val="none"/>
        </w:rPr>
      </w:pPr>
      <w:bookmarkStart w:id="31" w:name="_Toc10341"/>
      <w:bookmarkStart w:id="32" w:name="_Toc15377209"/>
      <w:bookmarkStart w:id="33"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31"/>
      <w:bookmarkEnd w:id="32"/>
      <w:bookmarkEnd w:id="33"/>
    </w:p>
    <w:p>
      <w:pPr>
        <w:spacing w:line="600" w:lineRule="exact"/>
        <w:ind w:firstLine="643" w:firstLineChars="200"/>
        <w:outlineLvl w:val="2"/>
        <w:rPr>
          <w:rFonts w:hint="eastAsia" w:ascii="仿宋" w:hAnsi="仿宋" w:eastAsia="仿宋"/>
          <w:b/>
          <w:color w:val="auto"/>
          <w:sz w:val="32"/>
          <w:szCs w:val="32"/>
          <w:highlight w:val="none"/>
        </w:rPr>
      </w:pPr>
      <w:bookmarkStart w:id="34" w:name="_Toc15377210"/>
      <w:bookmarkStart w:id="35" w:name="_Toc22455"/>
      <w:r>
        <w:rPr>
          <w:rFonts w:hint="eastAsia" w:ascii="仿宋" w:hAnsi="仿宋" w:eastAsia="仿宋"/>
          <w:b/>
          <w:color w:val="auto"/>
          <w:sz w:val="32"/>
          <w:szCs w:val="32"/>
          <w:highlight w:val="none"/>
        </w:rPr>
        <w:t>（一）一般公共预算财政拨款支出决算总体情况</w:t>
      </w:r>
      <w:bookmarkEnd w:id="34"/>
      <w:bookmarkEnd w:id="35"/>
    </w:p>
    <w:p>
      <w:pPr>
        <w:spacing w:line="600" w:lineRule="exact"/>
        <w:ind w:firstLine="640" w:firstLineChars="200"/>
        <w:outlineLvl w:val="2"/>
        <w:rPr>
          <w:rFonts w:ascii="仿宋" w:hAnsi="仿宋" w:eastAsia="仿宋"/>
          <w:color w:val="auto"/>
          <w:sz w:val="32"/>
          <w:szCs w:val="32"/>
          <w:highlight w:val="none"/>
        </w:rPr>
      </w:pPr>
      <w:r>
        <w:rPr>
          <w:rFonts w:hint="eastAsia" w:ascii="仿宋" w:hAnsi="仿宋" w:eastAsia="仿宋"/>
          <w:color w:val="000000"/>
          <w:kern w:val="2"/>
          <w:sz w:val="32"/>
          <w:szCs w:val="24"/>
          <w:lang w:val="zh-CN"/>
        </w:rPr>
        <w:t>2022年一般公共预算财政拨款支出8486.51万元，占本年支出合计的100%。与2021年相比，一般公共预算财政拨款支出减少1335.43万元，下降13.6%。</w:t>
      </w:r>
      <w:r>
        <w:rPr>
          <w:rFonts w:hint="eastAsia" w:ascii="仿宋" w:hAnsi="仿宋" w:eastAsia="仿宋"/>
          <w:color w:val="auto"/>
          <w:kern w:val="2"/>
          <w:sz w:val="32"/>
          <w:szCs w:val="24"/>
          <w:lang w:val="zh-CN"/>
        </w:rPr>
        <w:t>主要变动原因：</w:t>
      </w:r>
      <w:r>
        <w:rPr>
          <w:rFonts w:hint="eastAsia" w:ascii="仿宋" w:hAnsi="仿宋" w:eastAsia="仿宋"/>
          <w:color w:val="auto"/>
          <w:sz w:val="32"/>
          <w:szCs w:val="32"/>
        </w:rPr>
        <w:t>航线轧差项目支出减少</w:t>
      </w:r>
      <w:r>
        <w:rPr>
          <w:rFonts w:hint="eastAsia" w:ascii="仿宋" w:hAnsi="仿宋" w:eastAsia="仿宋"/>
          <w:color w:val="auto"/>
          <w:kern w:val="2"/>
          <w:sz w:val="32"/>
          <w:szCs w:val="24"/>
          <w:lang w:val="zh-CN"/>
        </w:rPr>
        <w:t>。</w:t>
      </w:r>
    </w:p>
    <w:p>
      <w:pPr>
        <w:pStyle w:val="2"/>
      </w:pPr>
      <w:r>
        <w:drawing>
          <wp:inline distT="0" distB="0" distL="114300" distR="114300">
            <wp:extent cx="5274310" cy="2149475"/>
            <wp:effectExtent l="5080" t="4445" r="16510" b="17780"/>
            <wp:docPr id="15"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pPr>
        <w:spacing w:line="600" w:lineRule="exact"/>
        <w:ind w:firstLine="643" w:firstLineChars="200"/>
        <w:outlineLvl w:val="2"/>
        <w:rPr>
          <w:rFonts w:ascii="仿宋" w:hAnsi="仿宋" w:eastAsia="仿宋"/>
          <w:b/>
          <w:color w:val="auto"/>
          <w:sz w:val="32"/>
          <w:szCs w:val="32"/>
          <w:highlight w:val="none"/>
        </w:rPr>
      </w:pPr>
      <w:bookmarkStart w:id="36" w:name="_Toc15377211"/>
      <w:bookmarkStart w:id="37" w:name="_Toc14224"/>
      <w:r>
        <w:rPr>
          <w:rFonts w:hint="eastAsia" w:ascii="仿宋" w:hAnsi="仿宋" w:eastAsia="仿宋"/>
          <w:b/>
          <w:color w:val="auto"/>
          <w:sz w:val="32"/>
          <w:szCs w:val="32"/>
          <w:highlight w:val="none"/>
        </w:rPr>
        <w:t>（二）一般公共预算财政拨款支出决算结构情况</w:t>
      </w:r>
      <w:bookmarkEnd w:id="36"/>
      <w:bookmarkEnd w:id="37"/>
    </w:p>
    <w:p>
      <w:pPr>
        <w:pStyle w:val="2"/>
        <w:jc w:val="left"/>
        <w:rPr>
          <w:rFonts w:ascii="仿宋" w:hAnsi="仿宋" w:eastAsia="仿宋"/>
          <w:color w:val="auto"/>
          <w:sz w:val="32"/>
          <w:szCs w:val="32"/>
          <w:highlight w:val="none"/>
        </w:rPr>
      </w:pPr>
      <w:r>
        <w:rPr>
          <w:rFonts w:hint="eastAsia" w:ascii="仿宋" w:hAnsi="仿宋" w:eastAsia="仿宋"/>
          <w:color w:val="000000"/>
          <w:kern w:val="2"/>
          <w:sz w:val="32"/>
          <w:szCs w:val="24"/>
          <w:lang w:val="en-US" w:eastAsia="zh-CN"/>
        </w:rPr>
        <w:t xml:space="preserve">    </w:t>
      </w:r>
      <w:r>
        <w:rPr>
          <w:rFonts w:hint="eastAsia" w:ascii="仿宋" w:hAnsi="仿宋" w:eastAsia="仿宋"/>
          <w:color w:val="000000"/>
          <w:kern w:val="2"/>
          <w:sz w:val="32"/>
          <w:szCs w:val="24"/>
          <w:lang w:val="zh-CN"/>
        </w:rPr>
        <w:t>2022年一般公共预算财政拨款支出8486.51万元，主要用于以下方面: 一般公共服务支出22.13万元，占0.3%；文化体育与传媒支出1593.74万元，占18.8%；社会保障和就业支出85.59万元，占1%；卫生健康支出35.61万元，占0.4%；交通运输支出6675.86万元，占78.7%；住房保障支出73.57万元，占0.9%。</w:t>
      </w:r>
    </w:p>
    <w:p>
      <w:pPr>
        <w:pStyle w:val="2"/>
      </w:pPr>
      <w:r>
        <w:drawing>
          <wp:inline distT="0" distB="0" distL="114300" distR="114300">
            <wp:extent cx="5055235" cy="2671445"/>
            <wp:effectExtent l="4445" t="4445" r="7620" b="1016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w:t>
      </w:r>
    </w:p>
    <w:p>
      <w:pPr>
        <w:spacing w:line="600" w:lineRule="exact"/>
        <w:ind w:firstLine="643" w:firstLineChars="200"/>
        <w:outlineLvl w:val="2"/>
        <w:rPr>
          <w:rFonts w:ascii="仿宋" w:hAnsi="仿宋" w:eastAsia="仿宋"/>
          <w:b/>
          <w:color w:val="auto"/>
          <w:sz w:val="32"/>
          <w:szCs w:val="32"/>
          <w:highlight w:val="none"/>
        </w:rPr>
      </w:pPr>
      <w:bookmarkStart w:id="38" w:name="_Toc15377212"/>
      <w:bookmarkStart w:id="39" w:name="_Toc28484"/>
      <w:r>
        <w:rPr>
          <w:rFonts w:hint="eastAsia" w:ascii="仿宋" w:hAnsi="仿宋" w:eastAsia="仿宋"/>
          <w:b/>
          <w:color w:val="auto"/>
          <w:sz w:val="32"/>
          <w:szCs w:val="32"/>
          <w:highlight w:val="none"/>
        </w:rPr>
        <w:t>（三）一般公共预算财政拨款支出决算具体情况</w:t>
      </w:r>
      <w:bookmarkEnd w:id="38"/>
      <w:bookmarkEnd w:id="39"/>
    </w:p>
    <w:p>
      <w:pPr>
        <w:spacing w:line="600" w:lineRule="exact"/>
        <w:ind w:firstLine="643" w:firstLineChars="200"/>
        <w:outlineLvl w:val="2"/>
        <w:rPr>
          <w:rStyle w:val="14"/>
          <w:rFonts w:hint="eastAsia" w:ascii="仿宋" w:hAnsi="仿宋" w:eastAsia="仿宋" w:cstheme="minorBidi"/>
          <w:bCs/>
          <w:kern w:val="2"/>
          <w:sz w:val="32"/>
          <w:szCs w:val="32"/>
          <w:lang w:val="en-US" w:eastAsia="zh-CN" w:bidi="ar-SA"/>
        </w:rPr>
      </w:pPr>
      <w:bookmarkStart w:id="40" w:name="_Toc8284"/>
      <w:bookmarkStart w:id="41" w:name="_Toc15377213"/>
      <w:bookmarkStart w:id="42" w:name="_Toc15378460"/>
      <w:bookmarkStart w:id="43" w:name="_Toc15377444"/>
      <w:r>
        <w:rPr>
          <w:rStyle w:val="14"/>
          <w:rFonts w:hint="eastAsia" w:ascii="仿宋" w:hAnsi="仿宋" w:eastAsia="仿宋" w:cstheme="minorBidi"/>
          <w:bCs/>
          <w:kern w:val="2"/>
          <w:sz w:val="32"/>
          <w:szCs w:val="32"/>
          <w:lang w:val="zh-CN" w:eastAsia="zh-CN" w:bidi="ar-SA"/>
        </w:rPr>
        <w:t>2022年一般公共预算支出决算数为8486.51万元，完成预算99.</w:t>
      </w:r>
      <w:r>
        <w:rPr>
          <w:rStyle w:val="14"/>
          <w:rFonts w:hint="eastAsia" w:ascii="仿宋" w:hAnsi="仿宋" w:eastAsia="仿宋" w:cstheme="minorBidi"/>
          <w:bCs/>
          <w:kern w:val="2"/>
          <w:sz w:val="32"/>
          <w:szCs w:val="32"/>
          <w:lang w:val="en-US" w:eastAsia="zh-CN" w:bidi="ar-SA"/>
        </w:rPr>
        <w:t>38</w:t>
      </w:r>
      <w:r>
        <w:rPr>
          <w:rStyle w:val="14"/>
          <w:rFonts w:hint="eastAsia" w:ascii="仿宋" w:hAnsi="仿宋" w:eastAsia="仿宋" w:cstheme="minorBidi"/>
          <w:bCs/>
          <w:kern w:val="2"/>
          <w:sz w:val="32"/>
          <w:szCs w:val="32"/>
          <w:lang w:val="zh-CN" w:eastAsia="zh-CN" w:bidi="ar-SA"/>
        </w:rPr>
        <w:t>%。其中：</w:t>
      </w:r>
      <w:bookmarkEnd w:id="40"/>
      <w:bookmarkEnd w:id="41"/>
      <w:bookmarkEnd w:id="42"/>
      <w:bookmarkEnd w:id="43"/>
    </w:p>
    <w:p>
      <w:pPr>
        <w:spacing w:line="576" w:lineRule="exact"/>
        <w:ind w:firstLine="643" w:firstLineChars="200"/>
        <w:rPr>
          <w:rStyle w:val="14"/>
          <w:rFonts w:hint="eastAsia" w:ascii="仿宋" w:hAnsi="仿宋" w:eastAsia="仿宋" w:cstheme="minorBidi"/>
          <w:bCs/>
          <w:kern w:val="2"/>
          <w:sz w:val="32"/>
          <w:szCs w:val="32"/>
          <w:lang w:val="en-US" w:eastAsia="zh-CN" w:bidi="ar-SA"/>
        </w:rPr>
      </w:pPr>
      <w:r>
        <w:rPr>
          <w:rStyle w:val="14"/>
          <w:rFonts w:hint="eastAsia" w:ascii="仿宋" w:hAnsi="仿宋" w:eastAsia="仿宋" w:cstheme="minorBidi"/>
          <w:bCs/>
          <w:kern w:val="2"/>
          <w:sz w:val="32"/>
          <w:szCs w:val="32"/>
          <w:lang w:val="en-US" w:eastAsia="zh-CN" w:bidi="ar-SA"/>
        </w:rPr>
        <w:t>1.一般公共服务（类）支出决算为22.13万元，完成预算100%，其中：</w:t>
      </w:r>
    </w:p>
    <w:p>
      <w:pPr>
        <w:spacing w:line="600" w:lineRule="exact"/>
        <w:ind w:firstLine="643" w:firstLineChars="200"/>
        <w:rPr>
          <w:rFonts w:ascii="仿宋" w:hAnsi="仿宋" w:eastAsia="仿宋"/>
          <w:b/>
          <w:sz w:val="32"/>
          <w:szCs w:val="32"/>
        </w:rPr>
      </w:pPr>
      <w:r>
        <w:rPr>
          <w:rStyle w:val="14"/>
          <w:rFonts w:hint="eastAsia" w:ascii="仿宋" w:hAnsi="仿宋" w:eastAsia="仿宋" w:cstheme="minorBidi"/>
          <w:bCs/>
          <w:kern w:val="2"/>
          <w:sz w:val="32"/>
          <w:szCs w:val="32"/>
          <w:lang w:val="en-US" w:eastAsia="zh-CN" w:bidi="ar-SA"/>
        </w:rPr>
        <w:t xml:space="preserve">（1）一般公共服务（类）商贸事务（款）招商引资（项）: </w:t>
      </w:r>
      <w:r>
        <w:rPr>
          <w:rStyle w:val="14"/>
          <w:rFonts w:hint="eastAsia" w:ascii="仿宋" w:hAnsi="仿宋" w:eastAsia="仿宋"/>
          <w:b w:val="0"/>
          <w:bCs/>
          <w:sz w:val="32"/>
          <w:szCs w:val="32"/>
        </w:rPr>
        <w:t>支出决算为12.13万元，完成预算100</w:t>
      </w:r>
      <w:r>
        <w:rPr>
          <w:rStyle w:val="14"/>
          <w:rFonts w:ascii="仿宋" w:hAnsi="仿宋" w:eastAsia="仿宋"/>
          <w:b w:val="0"/>
          <w:bCs/>
          <w:sz w:val="32"/>
          <w:szCs w:val="32"/>
        </w:rPr>
        <w:t>%</w:t>
      </w:r>
      <w:r>
        <w:rPr>
          <w:rFonts w:hint="eastAsia" w:ascii="仿宋" w:hAnsi="仿宋" w:eastAsia="仿宋"/>
          <w:color w:val="auto"/>
          <w:kern w:val="2"/>
          <w:sz w:val="32"/>
          <w:szCs w:val="24"/>
          <w:lang w:val="en-US"/>
        </w:rPr>
        <w:t>，决算数与预算数持平</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cstheme="minorBidi"/>
          <w:bCs/>
          <w:kern w:val="2"/>
          <w:sz w:val="32"/>
          <w:szCs w:val="32"/>
          <w:lang w:val="en-US" w:eastAsia="zh-CN" w:bidi="ar-SA"/>
        </w:rPr>
        <w:t xml:space="preserve">（2）一般公共服务（类）其他一般公共服务支出（款）其他一般公共服务支出（项）: </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1</w:t>
      </w:r>
      <w:r>
        <w:rPr>
          <w:rStyle w:val="14"/>
          <w:rFonts w:hint="eastAsia" w:ascii="仿宋" w:hAnsi="仿宋" w:eastAsia="仿宋"/>
          <w:b w:val="0"/>
          <w:bCs/>
          <w:sz w:val="32"/>
          <w:szCs w:val="32"/>
        </w:rPr>
        <w:t>0万元，完成预算</w:t>
      </w:r>
      <w:r>
        <w:rPr>
          <w:rStyle w:val="14"/>
          <w:rFonts w:hint="eastAsia" w:ascii="仿宋" w:hAnsi="仿宋" w:eastAsia="仿宋"/>
          <w:b w:val="0"/>
          <w:bCs/>
          <w:sz w:val="32"/>
          <w:szCs w:val="32"/>
          <w:lang w:val="en-US" w:eastAsia="zh-CN"/>
        </w:rPr>
        <w:t>10</w:t>
      </w:r>
      <w:r>
        <w:rPr>
          <w:rStyle w:val="14"/>
          <w:rFonts w:hint="eastAsia" w:ascii="仿宋" w:hAnsi="仿宋" w:eastAsia="仿宋"/>
          <w:b w:val="0"/>
          <w:bCs/>
          <w:sz w:val="32"/>
          <w:szCs w:val="32"/>
        </w:rPr>
        <w:t>0</w:t>
      </w:r>
      <w:r>
        <w:rPr>
          <w:rStyle w:val="14"/>
          <w:rFonts w:ascii="仿宋" w:hAnsi="仿宋" w:eastAsia="仿宋"/>
          <w:b w:val="0"/>
          <w:bCs/>
          <w:sz w:val="32"/>
          <w:szCs w:val="32"/>
        </w:rPr>
        <w:t>%</w:t>
      </w:r>
      <w:r>
        <w:rPr>
          <w:rFonts w:hint="eastAsia" w:ascii="仿宋" w:hAnsi="仿宋" w:eastAsia="仿宋"/>
          <w:color w:val="auto"/>
          <w:kern w:val="2"/>
          <w:sz w:val="32"/>
          <w:szCs w:val="24"/>
          <w:lang w:val="en-US"/>
        </w:rPr>
        <w:t>，决算数与预算数持平</w:t>
      </w:r>
      <w:r>
        <w:rPr>
          <w:rStyle w:val="14"/>
          <w:rFonts w:hint="eastAsia" w:ascii="仿宋" w:hAnsi="仿宋" w:eastAsia="仿宋"/>
          <w:b w:val="0"/>
          <w:bCs/>
          <w:sz w:val="32"/>
          <w:szCs w:val="32"/>
        </w:rPr>
        <w:t>。</w:t>
      </w:r>
    </w:p>
    <w:p>
      <w:pPr>
        <w:spacing w:line="576" w:lineRule="exact"/>
        <w:ind w:firstLine="643" w:firstLineChars="200"/>
        <w:rPr>
          <w:rStyle w:val="14"/>
          <w:rFonts w:hint="eastAsia" w:ascii="仿宋" w:hAnsi="仿宋" w:eastAsia="仿宋" w:cstheme="minorBidi"/>
          <w:bCs/>
          <w:kern w:val="2"/>
          <w:sz w:val="32"/>
          <w:szCs w:val="32"/>
          <w:lang w:val="en-US" w:eastAsia="zh-CN" w:bidi="ar-SA"/>
        </w:rPr>
      </w:pPr>
      <w:r>
        <w:rPr>
          <w:rStyle w:val="14"/>
          <w:rFonts w:hint="eastAsia" w:ascii="仿宋" w:hAnsi="仿宋" w:eastAsia="仿宋" w:cstheme="minorBidi"/>
          <w:bCs/>
          <w:kern w:val="2"/>
          <w:sz w:val="32"/>
          <w:szCs w:val="32"/>
          <w:lang w:val="en-US" w:eastAsia="zh-CN" w:bidi="ar-SA"/>
        </w:rPr>
        <w:t>2.文化体育与传媒（类）支出决算为1593.74万元，完成预算96.78%，其中：</w:t>
      </w:r>
    </w:p>
    <w:p>
      <w:pPr>
        <w:spacing w:line="600" w:lineRule="exact"/>
        <w:ind w:firstLine="643" w:firstLineChars="200"/>
        <w:rPr>
          <w:rFonts w:ascii="仿宋" w:hAnsi="仿宋" w:eastAsia="仿宋"/>
          <w:b/>
          <w:sz w:val="32"/>
          <w:szCs w:val="32"/>
        </w:rPr>
      </w:pPr>
      <w:r>
        <w:rPr>
          <w:rStyle w:val="14"/>
          <w:rFonts w:hint="eastAsia" w:ascii="仿宋" w:hAnsi="仿宋" w:eastAsia="仿宋" w:cstheme="minorBidi"/>
          <w:bCs/>
          <w:kern w:val="2"/>
          <w:sz w:val="32"/>
          <w:szCs w:val="32"/>
          <w:lang w:val="en-US" w:eastAsia="zh-CN" w:bidi="ar-SA"/>
        </w:rPr>
        <w:t xml:space="preserve">（1）文化旅游体育与传媒（类）文化和旅游（款）行政运行（项）: </w:t>
      </w:r>
      <w:r>
        <w:rPr>
          <w:rStyle w:val="14"/>
          <w:rFonts w:hint="eastAsia" w:ascii="仿宋" w:hAnsi="仿宋" w:eastAsia="仿宋"/>
          <w:b w:val="0"/>
          <w:bCs/>
          <w:sz w:val="32"/>
          <w:szCs w:val="32"/>
        </w:rPr>
        <w:t>支出决算为866.46万元，完成预算100</w:t>
      </w:r>
      <w:r>
        <w:rPr>
          <w:rStyle w:val="14"/>
          <w:rFonts w:ascii="仿宋" w:hAnsi="仿宋" w:eastAsia="仿宋"/>
          <w:b w:val="0"/>
          <w:bCs/>
          <w:sz w:val="32"/>
          <w:szCs w:val="32"/>
        </w:rPr>
        <w:t>%</w:t>
      </w:r>
      <w:r>
        <w:rPr>
          <w:rFonts w:hint="eastAsia" w:ascii="仿宋" w:hAnsi="仿宋" w:eastAsia="仿宋"/>
          <w:color w:val="auto"/>
          <w:kern w:val="2"/>
          <w:sz w:val="32"/>
          <w:szCs w:val="24"/>
          <w:lang w:val="en-US"/>
        </w:rPr>
        <w:t>，决算数与预算数持平</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cstheme="minorBidi"/>
          <w:bCs/>
          <w:kern w:val="2"/>
          <w:sz w:val="32"/>
          <w:szCs w:val="32"/>
          <w:lang w:val="en-US" w:eastAsia="zh-CN" w:bidi="ar-SA"/>
        </w:rPr>
        <w:t>（2）文化旅游体育与传媒（类）文化和旅游（款）一般行政管理事务（项）:</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支出决算为115.37万元，完成预算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Fonts w:hint="eastAsia" w:ascii="仿宋" w:hAnsi="仿宋" w:eastAsia="仿宋"/>
          <w:color w:val="auto"/>
          <w:kern w:val="2"/>
          <w:sz w:val="32"/>
          <w:szCs w:val="24"/>
          <w:lang w:val="en-US"/>
        </w:rPr>
        <w:t>，决算数与预算数持平</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4"/>
          <w:rFonts w:hint="eastAsia" w:ascii="仿宋" w:hAnsi="仿宋" w:eastAsia="仿宋" w:cstheme="minorBidi"/>
          <w:bCs/>
          <w:kern w:val="2"/>
          <w:sz w:val="32"/>
          <w:szCs w:val="32"/>
          <w:lang w:val="en-US" w:eastAsia="zh-CN" w:bidi="ar-SA"/>
        </w:rPr>
        <w:t>（3）文化旅游体育与传媒（类）文化和旅游（款）艺术表演场所（项）:</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支出决算为48.74万元，完成预算</w:t>
      </w:r>
      <w:r>
        <w:rPr>
          <w:rStyle w:val="14"/>
          <w:rFonts w:hint="eastAsia" w:ascii="仿宋" w:hAnsi="仿宋" w:eastAsia="仿宋"/>
          <w:b w:val="0"/>
          <w:bCs/>
          <w:sz w:val="32"/>
          <w:szCs w:val="32"/>
          <w:lang w:val="en-US" w:eastAsia="zh-CN"/>
        </w:rPr>
        <w:t>100</w:t>
      </w:r>
      <w:r>
        <w:rPr>
          <w:rStyle w:val="14"/>
          <w:rFonts w:ascii="仿宋" w:hAnsi="仿宋" w:eastAsia="仿宋"/>
          <w:b w:val="0"/>
          <w:bCs/>
          <w:sz w:val="32"/>
          <w:szCs w:val="32"/>
        </w:rPr>
        <w:t>%</w:t>
      </w:r>
      <w:r>
        <w:rPr>
          <w:rFonts w:hint="eastAsia" w:ascii="仿宋" w:hAnsi="仿宋" w:eastAsia="仿宋"/>
          <w:color w:val="auto"/>
          <w:kern w:val="2"/>
          <w:sz w:val="32"/>
          <w:szCs w:val="24"/>
          <w:lang w:val="en-US"/>
        </w:rPr>
        <w:t>，决算数与预算数持平</w:t>
      </w:r>
      <w:r>
        <w:rPr>
          <w:rStyle w:val="14"/>
          <w:rFonts w:hint="eastAsia" w:ascii="仿宋" w:hAnsi="仿宋" w:eastAsia="仿宋"/>
          <w:b w:val="0"/>
          <w:bCs/>
          <w:sz w:val="32"/>
          <w:szCs w:val="32"/>
        </w:rPr>
        <w:t>。</w:t>
      </w:r>
    </w:p>
    <w:p>
      <w:pPr>
        <w:spacing w:line="600" w:lineRule="exact"/>
        <w:ind w:firstLine="643" w:firstLineChars="200"/>
        <w:rPr>
          <w:rFonts w:ascii="仿宋" w:hAnsi="仿宋" w:eastAsia="仿宋"/>
          <w:b/>
          <w:color w:val="FF0000"/>
          <w:sz w:val="32"/>
          <w:szCs w:val="32"/>
        </w:rPr>
      </w:pPr>
      <w:r>
        <w:rPr>
          <w:rStyle w:val="14"/>
          <w:rFonts w:hint="eastAsia" w:ascii="仿宋" w:hAnsi="仿宋" w:eastAsia="仿宋" w:cstheme="minorBidi"/>
          <w:bCs/>
          <w:kern w:val="2"/>
          <w:sz w:val="32"/>
          <w:szCs w:val="32"/>
          <w:lang w:val="en-US" w:eastAsia="zh-CN" w:bidi="ar-SA"/>
        </w:rPr>
        <w:t>（4）文化旅游体育与传媒（类）文化和旅游（款）文化活动（项）:</w:t>
      </w:r>
      <w:r>
        <w:rPr>
          <w:rStyle w:val="14"/>
          <w:rFonts w:hint="eastAsia" w:ascii="仿宋" w:hAnsi="仿宋" w:eastAsia="仿宋"/>
          <w:b w:val="0"/>
          <w:bCs/>
          <w:sz w:val="32"/>
          <w:szCs w:val="32"/>
        </w:rPr>
        <w:t>支出决算为28.87万元，完成预算</w:t>
      </w:r>
      <w:r>
        <w:rPr>
          <w:rStyle w:val="14"/>
          <w:rFonts w:hint="eastAsia" w:ascii="仿宋" w:hAnsi="仿宋" w:eastAsia="仿宋"/>
          <w:b w:val="0"/>
          <w:bCs/>
          <w:sz w:val="32"/>
          <w:szCs w:val="32"/>
          <w:lang w:val="en-US" w:eastAsia="zh-CN"/>
        </w:rPr>
        <w:t>38.80</w:t>
      </w:r>
      <w:r>
        <w:rPr>
          <w:rStyle w:val="14"/>
          <w:rFonts w:ascii="仿宋" w:hAnsi="仿宋" w:eastAsia="仿宋"/>
          <w:b w:val="0"/>
          <w:bCs/>
          <w:sz w:val="32"/>
          <w:szCs w:val="32"/>
        </w:rPr>
        <w:t>%</w:t>
      </w:r>
      <w:r>
        <w:rPr>
          <w:rStyle w:val="14"/>
          <w:rFonts w:hint="eastAsia" w:ascii="仿宋" w:hAnsi="仿宋" w:eastAsia="仿宋"/>
          <w:b w:val="0"/>
          <w:bCs/>
          <w:sz w:val="32"/>
          <w:szCs w:val="32"/>
        </w:rPr>
        <w:t>，决算数小于预算数的</w:t>
      </w:r>
      <w:r>
        <w:rPr>
          <w:rStyle w:val="14"/>
          <w:rFonts w:hint="eastAsia" w:ascii="仿宋" w:hAnsi="仿宋" w:eastAsia="仿宋"/>
          <w:b w:val="0"/>
          <w:bCs/>
          <w:color w:val="auto"/>
          <w:sz w:val="32"/>
          <w:szCs w:val="32"/>
        </w:rPr>
        <w:t>主要原因是</w:t>
      </w:r>
      <w:r>
        <w:rPr>
          <w:rStyle w:val="14"/>
          <w:rFonts w:hint="eastAsia" w:ascii="仿宋" w:hAnsi="仿宋" w:eastAsia="仿宋"/>
          <w:b w:val="0"/>
          <w:bCs/>
          <w:color w:val="auto"/>
          <w:sz w:val="32"/>
          <w:szCs w:val="32"/>
          <w:lang w:eastAsia="zh-CN"/>
        </w:rPr>
        <w:t>《</w:t>
      </w:r>
      <w:r>
        <w:rPr>
          <w:rStyle w:val="14"/>
          <w:rFonts w:hint="eastAsia" w:ascii="仿宋" w:hAnsi="仿宋" w:eastAsia="仿宋"/>
          <w:b w:val="0"/>
          <w:bCs/>
          <w:color w:val="auto"/>
          <w:sz w:val="32"/>
          <w:szCs w:val="32"/>
          <w:lang w:val="en-US" w:eastAsia="zh-CN"/>
        </w:rPr>
        <w:t>中华传统经典诵读公益服务</w:t>
      </w:r>
      <w:r>
        <w:rPr>
          <w:rStyle w:val="14"/>
          <w:rFonts w:hint="eastAsia" w:ascii="仿宋" w:hAnsi="仿宋" w:eastAsia="仿宋"/>
          <w:b w:val="0"/>
          <w:bCs/>
          <w:color w:val="auto"/>
          <w:sz w:val="32"/>
          <w:szCs w:val="32"/>
          <w:lang w:eastAsia="zh-CN"/>
        </w:rPr>
        <w:t>》、《“</w:t>
      </w:r>
      <w:r>
        <w:rPr>
          <w:rStyle w:val="14"/>
          <w:rFonts w:hint="eastAsia" w:ascii="仿宋" w:hAnsi="仿宋" w:eastAsia="仿宋"/>
          <w:b w:val="0"/>
          <w:bCs/>
          <w:color w:val="auto"/>
          <w:sz w:val="32"/>
          <w:szCs w:val="32"/>
          <w:lang w:val="en-US" w:eastAsia="zh-CN"/>
        </w:rPr>
        <w:t>有爱·无碍”公益服务</w:t>
      </w:r>
      <w:r>
        <w:rPr>
          <w:rStyle w:val="14"/>
          <w:rFonts w:hint="eastAsia" w:ascii="仿宋" w:hAnsi="仿宋" w:eastAsia="仿宋"/>
          <w:b w:val="0"/>
          <w:bCs/>
          <w:color w:val="auto"/>
          <w:sz w:val="32"/>
          <w:szCs w:val="32"/>
          <w:lang w:eastAsia="zh-CN"/>
        </w:rPr>
        <w:t>》</w:t>
      </w:r>
      <w:r>
        <w:rPr>
          <w:rStyle w:val="14"/>
          <w:rFonts w:hint="eastAsia" w:ascii="仿宋" w:hAnsi="仿宋" w:eastAsia="仿宋"/>
          <w:b w:val="0"/>
          <w:bCs/>
          <w:color w:val="auto"/>
          <w:sz w:val="32"/>
          <w:szCs w:val="32"/>
          <w:lang w:val="en-US" w:eastAsia="zh-CN"/>
        </w:rPr>
        <w:t>项目分期付款，未支付完毕</w:t>
      </w:r>
      <w:r>
        <w:rPr>
          <w:rStyle w:val="14"/>
          <w:rFonts w:hint="eastAsia" w:ascii="仿宋" w:hAnsi="仿宋" w:eastAsia="仿宋"/>
          <w:b w:val="0"/>
          <w:bCs/>
          <w:color w:val="auto"/>
          <w:sz w:val="32"/>
          <w:szCs w:val="32"/>
        </w:rPr>
        <w:t>。</w:t>
      </w:r>
    </w:p>
    <w:p>
      <w:pPr>
        <w:spacing w:line="600" w:lineRule="exact"/>
        <w:ind w:firstLine="643" w:firstLineChars="200"/>
        <w:rPr>
          <w:rStyle w:val="14"/>
          <w:rFonts w:hint="eastAsia" w:ascii="仿宋" w:hAnsi="仿宋" w:eastAsia="仿宋"/>
          <w:b w:val="0"/>
          <w:bCs/>
          <w:sz w:val="32"/>
          <w:szCs w:val="32"/>
        </w:rPr>
      </w:pPr>
      <w:r>
        <w:rPr>
          <w:rStyle w:val="14"/>
          <w:rFonts w:hint="eastAsia" w:ascii="仿宋" w:hAnsi="仿宋" w:eastAsia="仿宋" w:cstheme="minorBidi"/>
          <w:bCs/>
          <w:kern w:val="2"/>
          <w:sz w:val="32"/>
          <w:szCs w:val="32"/>
          <w:lang w:val="en-US" w:eastAsia="zh-CN" w:bidi="ar-SA"/>
        </w:rPr>
        <w:t>（5）文化旅游体育与传媒（类）文化和旅游（款）群众文化（项）:</w:t>
      </w:r>
      <w:r>
        <w:rPr>
          <w:rStyle w:val="14"/>
          <w:rFonts w:hint="eastAsia" w:ascii="仿宋" w:hAnsi="仿宋" w:eastAsia="仿宋"/>
          <w:b w:val="0"/>
          <w:bCs/>
          <w:sz w:val="32"/>
          <w:szCs w:val="32"/>
        </w:rPr>
        <w:t>支出决算为71.60万元，完成预算</w:t>
      </w:r>
      <w:r>
        <w:rPr>
          <w:rStyle w:val="14"/>
          <w:rFonts w:hint="eastAsia" w:ascii="仿宋" w:hAnsi="仿宋" w:eastAsia="仿宋"/>
          <w:b w:val="0"/>
          <w:bCs/>
          <w:sz w:val="32"/>
          <w:szCs w:val="32"/>
          <w:lang w:val="en-US" w:eastAsia="zh-CN"/>
        </w:rPr>
        <w:t>10</w:t>
      </w:r>
      <w:r>
        <w:rPr>
          <w:rStyle w:val="14"/>
          <w:rFonts w:hint="eastAsia" w:ascii="仿宋" w:hAnsi="仿宋" w:eastAsia="仿宋"/>
          <w:b w:val="0"/>
          <w:bCs/>
          <w:sz w:val="32"/>
          <w:szCs w:val="32"/>
        </w:rPr>
        <w:t>0</w:t>
      </w:r>
      <w:r>
        <w:rPr>
          <w:rStyle w:val="14"/>
          <w:rFonts w:ascii="仿宋" w:hAnsi="仿宋" w:eastAsia="仿宋"/>
          <w:b w:val="0"/>
          <w:bCs/>
          <w:sz w:val="32"/>
          <w:szCs w:val="32"/>
        </w:rPr>
        <w:t>%</w:t>
      </w:r>
      <w:r>
        <w:rPr>
          <w:rFonts w:hint="eastAsia" w:ascii="仿宋" w:hAnsi="仿宋" w:eastAsia="仿宋"/>
          <w:color w:val="auto"/>
          <w:kern w:val="2"/>
          <w:sz w:val="32"/>
          <w:szCs w:val="24"/>
          <w:lang w:val="en-US"/>
        </w:rPr>
        <w:t>，决算数与预算数持平</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rPr>
        <w:t>（6）</w:t>
      </w:r>
      <w:r>
        <w:rPr>
          <w:rStyle w:val="14"/>
          <w:rFonts w:hint="eastAsia" w:ascii="仿宋" w:hAnsi="仿宋" w:eastAsia="仿宋" w:cstheme="minorBidi"/>
          <w:bCs/>
          <w:kern w:val="2"/>
          <w:sz w:val="32"/>
          <w:szCs w:val="32"/>
          <w:lang w:val="en-US" w:eastAsia="zh-CN" w:bidi="ar-SA"/>
        </w:rPr>
        <w:t>文化旅游体育与传媒（类）文化和旅游（款）文化创作与保护（项）:</w:t>
      </w:r>
      <w:r>
        <w:rPr>
          <w:rStyle w:val="14"/>
          <w:rFonts w:hint="eastAsia" w:ascii="仿宋" w:hAnsi="仿宋" w:eastAsia="仿宋"/>
          <w:b w:val="0"/>
          <w:bCs/>
          <w:sz w:val="32"/>
          <w:szCs w:val="32"/>
        </w:rPr>
        <w:t>支出决算为</w:t>
      </w:r>
      <w:r>
        <w:rPr>
          <w:rStyle w:val="14"/>
          <w:rFonts w:hint="eastAsia" w:ascii="仿宋" w:hAnsi="仿宋" w:eastAsia="仿宋"/>
          <w:b w:val="0"/>
          <w:bCs/>
          <w:sz w:val="32"/>
          <w:szCs w:val="32"/>
          <w:lang w:val="en-US" w:eastAsia="zh-CN"/>
        </w:rPr>
        <w:t>25</w:t>
      </w:r>
      <w:r>
        <w:rPr>
          <w:rStyle w:val="14"/>
          <w:rFonts w:hint="eastAsia" w:ascii="仿宋" w:hAnsi="仿宋" w:eastAsia="仿宋"/>
          <w:b w:val="0"/>
          <w:bCs/>
          <w:sz w:val="32"/>
          <w:szCs w:val="32"/>
        </w:rPr>
        <w:t>万元，完成预算100</w:t>
      </w:r>
      <w:r>
        <w:rPr>
          <w:rStyle w:val="14"/>
          <w:rFonts w:ascii="仿宋" w:hAnsi="仿宋" w:eastAsia="仿宋"/>
          <w:b w:val="0"/>
          <w:bCs/>
          <w:sz w:val="32"/>
          <w:szCs w:val="32"/>
        </w:rPr>
        <w:t>%</w:t>
      </w:r>
      <w:r>
        <w:rPr>
          <w:rFonts w:hint="eastAsia" w:ascii="仿宋" w:hAnsi="仿宋" w:eastAsia="仿宋"/>
          <w:color w:val="auto"/>
          <w:kern w:val="2"/>
          <w:sz w:val="32"/>
          <w:szCs w:val="24"/>
          <w:lang w:val="en-US"/>
        </w:rPr>
        <w:t>，决算数与预算数持平</w:t>
      </w:r>
      <w:r>
        <w:rPr>
          <w:rStyle w:val="14"/>
          <w:rFonts w:hint="eastAsia" w:ascii="仿宋" w:hAnsi="仿宋" w:eastAsia="仿宋"/>
          <w:b w:val="0"/>
          <w:bCs/>
          <w:sz w:val="32"/>
          <w:szCs w:val="32"/>
        </w:rPr>
        <w:t>。</w:t>
      </w:r>
    </w:p>
    <w:p>
      <w:pPr>
        <w:spacing w:line="600" w:lineRule="exact"/>
        <w:ind w:firstLine="643" w:firstLineChars="200"/>
        <w:rPr>
          <w:rStyle w:val="14"/>
          <w:rFonts w:ascii="仿宋" w:hAnsi="仿宋" w:eastAsia="仿宋"/>
          <w:b w:val="0"/>
          <w:bCs/>
          <w:color w:val="FF0000"/>
          <w:sz w:val="32"/>
          <w:szCs w:val="32"/>
        </w:rPr>
      </w:pPr>
      <w:r>
        <w:rPr>
          <w:rStyle w:val="14"/>
          <w:rFonts w:hint="eastAsia" w:ascii="仿宋" w:hAnsi="仿宋" w:eastAsia="仿宋"/>
          <w:bCs/>
          <w:sz w:val="32"/>
          <w:szCs w:val="32"/>
        </w:rPr>
        <w:t>（</w:t>
      </w:r>
      <w:r>
        <w:rPr>
          <w:rStyle w:val="14"/>
          <w:rFonts w:hint="eastAsia" w:ascii="仿宋" w:hAnsi="仿宋" w:eastAsia="仿宋"/>
          <w:bCs/>
          <w:sz w:val="32"/>
          <w:szCs w:val="32"/>
          <w:lang w:val="en-US" w:eastAsia="zh-CN"/>
        </w:rPr>
        <w:t>7</w:t>
      </w:r>
      <w:r>
        <w:rPr>
          <w:rStyle w:val="14"/>
          <w:rFonts w:hint="eastAsia" w:ascii="仿宋" w:hAnsi="仿宋" w:eastAsia="仿宋"/>
          <w:bCs/>
          <w:sz w:val="32"/>
          <w:szCs w:val="32"/>
        </w:rPr>
        <w:t>）</w:t>
      </w:r>
      <w:r>
        <w:rPr>
          <w:rStyle w:val="14"/>
          <w:rFonts w:hint="eastAsia" w:ascii="仿宋" w:hAnsi="仿宋" w:eastAsia="仿宋" w:cstheme="minorBidi"/>
          <w:bCs/>
          <w:kern w:val="2"/>
          <w:sz w:val="32"/>
          <w:szCs w:val="32"/>
          <w:lang w:val="en-US" w:eastAsia="zh-CN" w:bidi="ar-SA"/>
        </w:rPr>
        <w:t>文化旅游体育与传媒（类）文化和旅游（款）文化和旅游市场管理（项）:</w:t>
      </w:r>
      <w:r>
        <w:rPr>
          <w:rStyle w:val="14"/>
          <w:rFonts w:hint="eastAsia" w:ascii="仿宋" w:hAnsi="仿宋" w:eastAsia="仿宋"/>
          <w:b w:val="0"/>
          <w:bCs/>
          <w:sz w:val="32"/>
          <w:szCs w:val="32"/>
        </w:rPr>
        <w:t>支出决算为25万元，完成预算100</w:t>
      </w:r>
      <w:r>
        <w:rPr>
          <w:rStyle w:val="14"/>
          <w:rFonts w:ascii="仿宋" w:hAnsi="仿宋" w:eastAsia="仿宋"/>
          <w:b w:val="0"/>
          <w:bCs/>
          <w:sz w:val="32"/>
          <w:szCs w:val="32"/>
        </w:rPr>
        <w:t>%</w:t>
      </w:r>
      <w:r>
        <w:rPr>
          <w:rFonts w:hint="eastAsia" w:ascii="仿宋" w:hAnsi="仿宋" w:eastAsia="仿宋"/>
          <w:color w:val="auto"/>
          <w:kern w:val="2"/>
          <w:sz w:val="32"/>
          <w:szCs w:val="24"/>
          <w:lang w:val="en-US"/>
        </w:rPr>
        <w:t>，决算数与预算数持平</w:t>
      </w:r>
      <w:r>
        <w:rPr>
          <w:rStyle w:val="14"/>
          <w:rFonts w:hint="eastAsia" w:ascii="仿宋" w:hAnsi="仿宋" w:eastAsia="仿宋"/>
          <w:b w:val="0"/>
          <w:bCs/>
          <w:sz w:val="32"/>
          <w:szCs w:val="32"/>
        </w:rPr>
        <w:t>。</w:t>
      </w:r>
    </w:p>
    <w:p>
      <w:pPr>
        <w:pStyle w:val="2"/>
        <w:ind w:firstLine="643" w:firstLineChars="200"/>
        <w:jc w:val="both"/>
        <w:rPr>
          <w:rStyle w:val="14"/>
          <w:b w:val="0"/>
          <w:bCs/>
          <w:color w:val="FF0000"/>
          <w:sz w:val="32"/>
          <w:szCs w:val="32"/>
        </w:rPr>
      </w:pPr>
      <w:r>
        <w:rPr>
          <w:rStyle w:val="14"/>
          <w:rFonts w:hint="eastAsia"/>
          <w:bCs/>
          <w:sz w:val="32"/>
          <w:szCs w:val="32"/>
        </w:rPr>
        <w:t>（</w:t>
      </w:r>
      <w:r>
        <w:rPr>
          <w:rStyle w:val="14"/>
          <w:rFonts w:hint="eastAsia"/>
          <w:bCs/>
          <w:sz w:val="32"/>
          <w:szCs w:val="32"/>
          <w:lang w:val="en-US" w:eastAsia="zh-CN"/>
        </w:rPr>
        <w:t>8</w:t>
      </w:r>
      <w:r>
        <w:rPr>
          <w:rStyle w:val="14"/>
          <w:rFonts w:hint="eastAsia"/>
          <w:bCs/>
          <w:sz w:val="32"/>
          <w:szCs w:val="32"/>
        </w:rPr>
        <w:t>）</w:t>
      </w:r>
      <w:r>
        <w:rPr>
          <w:rStyle w:val="14"/>
          <w:rFonts w:hint="eastAsia" w:ascii="仿宋" w:hAnsi="仿宋" w:eastAsia="仿宋" w:cstheme="minorBidi"/>
          <w:bCs/>
          <w:kern w:val="2"/>
          <w:sz w:val="32"/>
          <w:szCs w:val="32"/>
          <w:lang w:val="en-US" w:eastAsia="zh-CN" w:bidi="ar-SA"/>
        </w:rPr>
        <w:t>文化旅游体育与传媒（类）文化和旅游（款）旅游宣传（项）:</w:t>
      </w:r>
      <w:r>
        <w:rPr>
          <w:rStyle w:val="14"/>
          <w:rFonts w:hint="eastAsia"/>
          <w:b w:val="0"/>
          <w:bCs/>
          <w:sz w:val="32"/>
          <w:szCs w:val="32"/>
        </w:rPr>
        <w:t>支出决算为103.24万元，完成预算</w:t>
      </w:r>
      <w:r>
        <w:rPr>
          <w:rStyle w:val="14"/>
          <w:rFonts w:hint="eastAsia"/>
          <w:b w:val="0"/>
          <w:bCs/>
          <w:sz w:val="32"/>
          <w:szCs w:val="32"/>
          <w:lang w:val="en-US" w:eastAsia="zh-CN"/>
        </w:rPr>
        <w:t>100</w:t>
      </w:r>
      <w:r>
        <w:rPr>
          <w:rStyle w:val="14"/>
          <w:b w:val="0"/>
          <w:bCs/>
          <w:sz w:val="32"/>
          <w:szCs w:val="32"/>
        </w:rPr>
        <w:t>%</w:t>
      </w:r>
      <w:r>
        <w:rPr>
          <w:rFonts w:hint="eastAsia" w:ascii="仿宋" w:hAnsi="仿宋" w:eastAsia="仿宋"/>
          <w:color w:val="auto"/>
          <w:kern w:val="2"/>
          <w:sz w:val="32"/>
          <w:szCs w:val="24"/>
          <w:lang w:val="en-US"/>
        </w:rPr>
        <w:t>，决算数与预算数持平</w:t>
      </w:r>
      <w:r>
        <w:rPr>
          <w:rStyle w:val="14"/>
          <w:rFonts w:hint="eastAsia"/>
          <w:b w:val="0"/>
          <w:bCs/>
          <w:sz w:val="32"/>
          <w:szCs w:val="32"/>
        </w:rPr>
        <w:t>。</w:t>
      </w:r>
    </w:p>
    <w:p>
      <w:pPr>
        <w:ind w:firstLine="643" w:firstLineChars="200"/>
        <w:rPr>
          <w:rStyle w:val="14"/>
          <w:rFonts w:ascii="仿宋" w:hAnsi="仿宋" w:eastAsia="仿宋"/>
          <w:b w:val="0"/>
          <w:bCs/>
          <w:color w:val="FF0000"/>
          <w:sz w:val="32"/>
          <w:szCs w:val="32"/>
        </w:rPr>
      </w:pPr>
      <w:r>
        <w:rPr>
          <w:rStyle w:val="14"/>
          <w:rFonts w:hint="eastAsia" w:ascii="仿宋" w:hAnsi="仿宋" w:eastAsia="仿宋"/>
          <w:bCs/>
          <w:sz w:val="32"/>
          <w:szCs w:val="32"/>
        </w:rPr>
        <w:t>（</w:t>
      </w:r>
      <w:r>
        <w:rPr>
          <w:rStyle w:val="14"/>
          <w:rFonts w:hint="eastAsia" w:ascii="仿宋" w:hAnsi="仿宋" w:eastAsia="仿宋"/>
          <w:bCs/>
          <w:sz w:val="32"/>
          <w:szCs w:val="32"/>
          <w:lang w:val="en-US" w:eastAsia="zh-CN"/>
        </w:rPr>
        <w:t>9</w:t>
      </w:r>
      <w:r>
        <w:rPr>
          <w:rStyle w:val="14"/>
          <w:rFonts w:hint="eastAsia" w:ascii="仿宋" w:hAnsi="仿宋" w:eastAsia="仿宋"/>
          <w:bCs/>
          <w:sz w:val="32"/>
          <w:szCs w:val="32"/>
        </w:rPr>
        <w:t>）</w:t>
      </w:r>
      <w:r>
        <w:rPr>
          <w:rStyle w:val="14"/>
          <w:rFonts w:hint="eastAsia" w:ascii="仿宋" w:hAnsi="仿宋" w:eastAsia="仿宋" w:cstheme="minorBidi"/>
          <w:bCs/>
          <w:kern w:val="2"/>
          <w:sz w:val="32"/>
          <w:szCs w:val="32"/>
          <w:lang w:val="en-US" w:eastAsia="zh-CN" w:bidi="ar-SA"/>
        </w:rPr>
        <w:t>文化旅游体育与传媒（类）文化和旅游（款）文化和旅游管理事务（项）:</w:t>
      </w:r>
      <w:r>
        <w:rPr>
          <w:rStyle w:val="14"/>
          <w:rFonts w:hint="eastAsia" w:ascii="仿宋" w:hAnsi="仿宋" w:eastAsia="仿宋"/>
          <w:b w:val="0"/>
          <w:bCs/>
          <w:sz w:val="32"/>
          <w:szCs w:val="32"/>
        </w:rPr>
        <w:t>支出决算为181.38万元，完成预算100</w:t>
      </w:r>
      <w:r>
        <w:rPr>
          <w:rStyle w:val="14"/>
          <w:rFonts w:ascii="仿宋" w:hAnsi="仿宋" w:eastAsia="仿宋"/>
          <w:b w:val="0"/>
          <w:bCs/>
          <w:sz w:val="32"/>
          <w:szCs w:val="32"/>
        </w:rPr>
        <w:t>%</w:t>
      </w:r>
      <w:r>
        <w:rPr>
          <w:rFonts w:hint="eastAsia" w:ascii="仿宋" w:hAnsi="仿宋" w:eastAsia="仿宋"/>
          <w:color w:val="auto"/>
          <w:kern w:val="2"/>
          <w:sz w:val="32"/>
          <w:szCs w:val="24"/>
          <w:lang w:val="en-US"/>
        </w:rPr>
        <w:t>，决算数与预算数持平</w:t>
      </w:r>
      <w:r>
        <w:rPr>
          <w:rStyle w:val="14"/>
          <w:rFonts w:hint="eastAsia" w:ascii="仿宋" w:hAnsi="仿宋" w:eastAsia="仿宋"/>
          <w:b w:val="0"/>
          <w:bCs/>
          <w:sz w:val="32"/>
          <w:szCs w:val="32"/>
        </w:rPr>
        <w:t>。</w:t>
      </w:r>
    </w:p>
    <w:p>
      <w:pPr>
        <w:pStyle w:val="2"/>
        <w:ind w:firstLine="643" w:firstLineChars="200"/>
        <w:jc w:val="both"/>
        <w:rPr>
          <w:color w:val="FF0000"/>
        </w:rPr>
      </w:pPr>
      <w:r>
        <w:rPr>
          <w:rStyle w:val="14"/>
          <w:rFonts w:hint="eastAsia" w:ascii="仿宋" w:hAnsi="仿宋" w:eastAsia="仿宋" w:cstheme="minorBidi"/>
          <w:bCs/>
          <w:kern w:val="2"/>
          <w:sz w:val="32"/>
          <w:szCs w:val="32"/>
          <w:lang w:val="en-US" w:eastAsia="zh-CN" w:bidi="ar-SA"/>
        </w:rPr>
        <w:t>（10）文化旅游体育与传媒（类）文化和旅游（款）其他文化和旅游支出（项）:</w:t>
      </w:r>
      <w:r>
        <w:rPr>
          <w:rStyle w:val="14"/>
          <w:rFonts w:hint="eastAsia"/>
          <w:b w:val="0"/>
          <w:bCs/>
          <w:sz w:val="32"/>
          <w:szCs w:val="32"/>
        </w:rPr>
        <w:t>支出决算为68.09万元，完成预算</w:t>
      </w:r>
      <w:r>
        <w:rPr>
          <w:rStyle w:val="14"/>
          <w:rFonts w:hint="eastAsia"/>
          <w:b w:val="0"/>
          <w:bCs/>
          <w:sz w:val="32"/>
          <w:szCs w:val="32"/>
          <w:lang w:val="en-US" w:eastAsia="zh-CN"/>
        </w:rPr>
        <w:t>90.10</w:t>
      </w:r>
      <w:r>
        <w:rPr>
          <w:rStyle w:val="14"/>
          <w:b w:val="0"/>
          <w:bCs/>
          <w:sz w:val="32"/>
          <w:szCs w:val="32"/>
        </w:rPr>
        <w:t>%</w:t>
      </w:r>
      <w:r>
        <w:rPr>
          <w:rStyle w:val="14"/>
          <w:rFonts w:hint="eastAsia"/>
          <w:b w:val="0"/>
          <w:bCs/>
          <w:sz w:val="32"/>
          <w:szCs w:val="32"/>
        </w:rPr>
        <w:t>，决算数小于预算数的</w:t>
      </w:r>
      <w:r>
        <w:rPr>
          <w:rStyle w:val="14"/>
          <w:rFonts w:hint="eastAsia"/>
          <w:b w:val="0"/>
          <w:bCs/>
          <w:color w:val="auto"/>
          <w:sz w:val="32"/>
          <w:szCs w:val="32"/>
        </w:rPr>
        <w:t>主要原因是文化艺术中心洪涝灾害治理项目实施完</w:t>
      </w:r>
      <w:r>
        <w:rPr>
          <w:rStyle w:val="14"/>
          <w:rFonts w:hint="eastAsia"/>
          <w:b w:val="0"/>
          <w:bCs/>
          <w:color w:val="auto"/>
          <w:sz w:val="32"/>
          <w:szCs w:val="32"/>
          <w:lang w:val="en-US" w:eastAsia="zh-CN"/>
        </w:rPr>
        <w:t>毕</w:t>
      </w:r>
      <w:r>
        <w:rPr>
          <w:rStyle w:val="14"/>
          <w:rFonts w:hint="eastAsia"/>
          <w:b w:val="0"/>
          <w:bCs/>
          <w:color w:val="auto"/>
          <w:sz w:val="32"/>
          <w:szCs w:val="32"/>
        </w:rPr>
        <w:t>，</w:t>
      </w:r>
      <w:r>
        <w:rPr>
          <w:rStyle w:val="14"/>
          <w:rFonts w:hint="eastAsia"/>
          <w:b w:val="0"/>
          <w:bCs/>
          <w:color w:val="auto"/>
          <w:sz w:val="32"/>
          <w:szCs w:val="32"/>
          <w:lang w:val="en-US" w:eastAsia="zh-CN"/>
        </w:rPr>
        <w:t>结余7.48万元</w:t>
      </w:r>
      <w:r>
        <w:rPr>
          <w:rStyle w:val="14"/>
          <w:rFonts w:hint="eastAsia"/>
          <w:b w:val="0"/>
          <w:bCs/>
          <w:color w:val="auto"/>
          <w:sz w:val="32"/>
          <w:szCs w:val="32"/>
        </w:rPr>
        <w:t>。</w:t>
      </w:r>
    </w:p>
    <w:p>
      <w:pPr>
        <w:spacing w:line="600" w:lineRule="exact"/>
        <w:ind w:firstLine="643" w:firstLineChars="200"/>
        <w:rPr>
          <w:rStyle w:val="14"/>
          <w:rFonts w:ascii="仿宋" w:eastAsia="仿宋"/>
          <w:b w:val="0"/>
          <w:bCs/>
          <w:color w:val="FF0000"/>
          <w:sz w:val="32"/>
          <w:szCs w:val="32"/>
        </w:rPr>
      </w:pPr>
      <w:r>
        <w:rPr>
          <w:rStyle w:val="14"/>
          <w:rFonts w:hint="eastAsia" w:ascii="仿宋" w:hAnsi="仿宋" w:eastAsia="仿宋" w:cstheme="minorBidi"/>
          <w:bCs/>
          <w:sz w:val="32"/>
          <w:szCs w:val="32"/>
        </w:rPr>
        <w:t>（1</w:t>
      </w:r>
      <w:r>
        <w:rPr>
          <w:rStyle w:val="14"/>
          <w:rFonts w:hint="eastAsia" w:ascii="仿宋" w:hAnsi="仿宋" w:eastAsia="仿宋" w:cstheme="minorBidi"/>
          <w:bCs/>
          <w:sz w:val="32"/>
          <w:szCs w:val="32"/>
          <w:lang w:val="en-US" w:eastAsia="zh-CN"/>
        </w:rPr>
        <w:t>1</w:t>
      </w:r>
      <w:r>
        <w:rPr>
          <w:rStyle w:val="14"/>
          <w:rFonts w:hint="eastAsia" w:ascii="仿宋" w:hAnsi="仿宋" w:eastAsia="仿宋" w:cstheme="minorBidi"/>
          <w:bCs/>
          <w:sz w:val="32"/>
          <w:szCs w:val="32"/>
        </w:rPr>
        <w:t>）文化体育与传媒（类）文物（款）文物保护（项）：</w:t>
      </w:r>
      <w:r>
        <w:rPr>
          <w:rStyle w:val="14"/>
          <w:rFonts w:hint="eastAsia" w:ascii="仿宋" w:eastAsia="仿宋"/>
          <w:b w:val="0"/>
          <w:color w:val="000000"/>
          <w:sz w:val="32"/>
          <w:szCs w:val="32"/>
        </w:rPr>
        <w:t>支出决算为</w:t>
      </w:r>
      <w:r>
        <w:rPr>
          <w:rFonts w:hint="eastAsia" w:ascii="仿宋" w:eastAsia="仿宋"/>
          <w:sz w:val="32"/>
          <w:szCs w:val="32"/>
          <w:lang w:val="en-US" w:eastAsia="zh-CN"/>
        </w:rPr>
        <w:t>60</w:t>
      </w:r>
      <w:r>
        <w:rPr>
          <w:rFonts w:hint="eastAsia" w:ascii="仿宋" w:eastAsia="仿宋"/>
          <w:sz w:val="32"/>
          <w:szCs w:val="32"/>
        </w:rPr>
        <w:t>万元，完成预算100%</w:t>
      </w:r>
      <w:r>
        <w:rPr>
          <w:rFonts w:hint="eastAsia" w:ascii="仿宋" w:hAnsi="仿宋" w:eastAsia="仿宋"/>
          <w:color w:val="auto"/>
          <w:kern w:val="2"/>
          <w:sz w:val="32"/>
          <w:szCs w:val="24"/>
          <w:lang w:val="en-US"/>
        </w:rPr>
        <w:t>，决算数与预算数持平</w:t>
      </w:r>
      <w:r>
        <w:rPr>
          <w:rStyle w:val="14"/>
          <w:rFonts w:hint="eastAsia" w:ascii="仿宋" w:eastAsia="仿宋"/>
          <w:b w:val="0"/>
          <w:bCs/>
          <w:color w:val="000000"/>
          <w:sz w:val="32"/>
          <w:szCs w:val="32"/>
        </w:rPr>
        <w:t>。</w:t>
      </w:r>
    </w:p>
    <w:p>
      <w:pPr>
        <w:spacing w:line="576" w:lineRule="exact"/>
        <w:ind w:firstLine="643" w:firstLineChars="200"/>
        <w:rPr>
          <w:rStyle w:val="14"/>
          <w:rFonts w:ascii="仿宋" w:eastAsia="仿宋"/>
          <w:bCs/>
          <w:sz w:val="32"/>
          <w:szCs w:val="32"/>
        </w:rPr>
      </w:pPr>
      <w:r>
        <w:rPr>
          <w:rStyle w:val="14"/>
          <w:rFonts w:hint="eastAsia" w:ascii="仿宋" w:eastAsia="仿宋"/>
          <w:bCs/>
          <w:sz w:val="32"/>
          <w:szCs w:val="32"/>
        </w:rPr>
        <w:t>3.社会保障和就业支出决算为85.59万元，完成预算100%，其中：</w:t>
      </w:r>
    </w:p>
    <w:p>
      <w:pPr>
        <w:spacing w:line="576" w:lineRule="exact"/>
        <w:ind w:firstLine="643" w:firstLineChars="200"/>
        <w:rPr>
          <w:rFonts w:ascii="仿宋" w:eastAsia="仿宋"/>
          <w:sz w:val="32"/>
          <w:szCs w:val="32"/>
        </w:rPr>
      </w:pPr>
      <w:r>
        <w:rPr>
          <w:rStyle w:val="14"/>
          <w:rFonts w:hint="eastAsia" w:ascii="仿宋" w:hAnsi="仿宋" w:eastAsia="仿宋" w:cstheme="minorBidi"/>
          <w:bCs/>
          <w:sz w:val="32"/>
          <w:szCs w:val="32"/>
        </w:rPr>
        <w:t>（1）社会保障和就业支出（类）行政事业单位养老支出（款）行政单位离退休（项）：</w:t>
      </w:r>
      <w:r>
        <w:rPr>
          <w:rStyle w:val="14"/>
          <w:rFonts w:hint="eastAsia" w:ascii="仿宋" w:eastAsia="仿宋"/>
          <w:b w:val="0"/>
          <w:color w:val="000000"/>
          <w:sz w:val="32"/>
          <w:szCs w:val="32"/>
        </w:rPr>
        <w:t>支出决算为</w:t>
      </w:r>
      <w:r>
        <w:rPr>
          <w:rFonts w:hint="eastAsia" w:ascii="仿宋" w:eastAsia="仿宋"/>
          <w:sz w:val="32"/>
          <w:szCs w:val="32"/>
        </w:rPr>
        <w:t>12.19万元，完成预算100%</w:t>
      </w:r>
      <w:r>
        <w:rPr>
          <w:rFonts w:hint="eastAsia" w:ascii="仿宋" w:hAnsi="仿宋" w:eastAsia="仿宋"/>
          <w:color w:val="auto"/>
          <w:kern w:val="2"/>
          <w:sz w:val="32"/>
          <w:szCs w:val="24"/>
          <w:lang w:val="en-US"/>
        </w:rPr>
        <w:t>，决算数与预算数持平</w:t>
      </w:r>
      <w:r>
        <w:rPr>
          <w:rFonts w:hint="eastAsia" w:ascii="仿宋" w:eastAsia="仿宋"/>
          <w:sz w:val="32"/>
          <w:szCs w:val="32"/>
        </w:rPr>
        <w:t>。</w:t>
      </w:r>
    </w:p>
    <w:p>
      <w:pPr>
        <w:spacing w:line="576" w:lineRule="exact"/>
        <w:ind w:firstLine="643" w:firstLineChars="200"/>
        <w:rPr>
          <w:rFonts w:ascii="仿宋" w:eastAsia="仿宋"/>
          <w:sz w:val="32"/>
          <w:szCs w:val="32"/>
        </w:rPr>
      </w:pPr>
      <w:r>
        <w:rPr>
          <w:rStyle w:val="14"/>
          <w:rFonts w:hint="eastAsia" w:ascii="仿宋" w:hAnsi="仿宋" w:eastAsia="仿宋" w:cstheme="minorBidi"/>
          <w:bCs/>
          <w:sz w:val="32"/>
          <w:szCs w:val="32"/>
        </w:rPr>
        <w:t>（2）社会保障和就业支出（类）行政事业单位养老支出（款）机关事业单位基本养老保险缴费支出（项）：</w:t>
      </w:r>
      <w:r>
        <w:rPr>
          <w:rStyle w:val="14"/>
          <w:rFonts w:hint="eastAsia" w:ascii="仿宋" w:eastAsia="仿宋"/>
          <w:b w:val="0"/>
          <w:color w:val="000000"/>
          <w:sz w:val="32"/>
          <w:szCs w:val="32"/>
        </w:rPr>
        <w:t>支出决算为</w:t>
      </w:r>
      <w:r>
        <w:rPr>
          <w:rFonts w:hint="eastAsia" w:ascii="仿宋" w:eastAsia="仿宋"/>
          <w:sz w:val="32"/>
          <w:szCs w:val="32"/>
        </w:rPr>
        <w:t>63.45万元，完成预算100%</w:t>
      </w:r>
      <w:r>
        <w:rPr>
          <w:rFonts w:hint="eastAsia" w:ascii="仿宋" w:hAnsi="仿宋" w:eastAsia="仿宋"/>
          <w:color w:val="auto"/>
          <w:kern w:val="2"/>
          <w:sz w:val="32"/>
          <w:szCs w:val="24"/>
          <w:lang w:val="en-US"/>
        </w:rPr>
        <w:t>，决算数与预算数持平</w:t>
      </w:r>
      <w:r>
        <w:rPr>
          <w:rFonts w:hint="eastAsia" w:ascii="仿宋" w:eastAsia="仿宋"/>
          <w:sz w:val="32"/>
          <w:szCs w:val="32"/>
        </w:rPr>
        <w:t>。</w:t>
      </w:r>
    </w:p>
    <w:p>
      <w:pPr>
        <w:spacing w:line="576" w:lineRule="exact"/>
        <w:ind w:firstLine="643" w:firstLineChars="200"/>
        <w:rPr>
          <w:rFonts w:ascii="仿宋" w:eastAsia="仿宋"/>
          <w:sz w:val="32"/>
          <w:szCs w:val="32"/>
        </w:rPr>
      </w:pPr>
      <w:r>
        <w:rPr>
          <w:rStyle w:val="14"/>
          <w:rFonts w:hint="eastAsia" w:ascii="仿宋" w:hAnsi="仿宋" w:eastAsia="仿宋" w:cstheme="minorBidi"/>
          <w:bCs/>
          <w:sz w:val="32"/>
          <w:szCs w:val="32"/>
        </w:rPr>
        <w:t>（3）社会保障和就业支出（类）行政事业单位养老支出（款）机关事业单位职业年金缴费支出（项）：</w:t>
      </w:r>
      <w:r>
        <w:rPr>
          <w:rStyle w:val="14"/>
          <w:rFonts w:hint="eastAsia" w:ascii="仿宋" w:eastAsia="仿宋"/>
          <w:b w:val="0"/>
          <w:color w:val="000000"/>
          <w:sz w:val="32"/>
          <w:szCs w:val="32"/>
        </w:rPr>
        <w:t>支出决算为</w:t>
      </w:r>
      <w:r>
        <w:rPr>
          <w:rFonts w:hint="eastAsia" w:ascii="仿宋" w:eastAsia="仿宋"/>
          <w:sz w:val="32"/>
          <w:szCs w:val="32"/>
        </w:rPr>
        <w:t>9.95万元，完成预算100%</w:t>
      </w:r>
      <w:r>
        <w:rPr>
          <w:rFonts w:hint="eastAsia" w:ascii="仿宋" w:hAnsi="仿宋" w:eastAsia="仿宋"/>
          <w:color w:val="auto"/>
          <w:kern w:val="2"/>
          <w:sz w:val="32"/>
          <w:szCs w:val="24"/>
          <w:lang w:val="en-US"/>
        </w:rPr>
        <w:t>，决算数与预算数持平</w:t>
      </w:r>
      <w:r>
        <w:rPr>
          <w:rFonts w:hint="eastAsia" w:ascii="仿宋" w:eastAsia="仿宋"/>
          <w:sz w:val="32"/>
          <w:szCs w:val="32"/>
        </w:rPr>
        <w:t>。</w:t>
      </w:r>
    </w:p>
    <w:p>
      <w:pPr>
        <w:spacing w:line="576" w:lineRule="exact"/>
        <w:ind w:firstLine="643" w:firstLineChars="200"/>
        <w:rPr>
          <w:rFonts w:ascii="仿宋" w:eastAsia="仿宋"/>
          <w:sz w:val="32"/>
          <w:szCs w:val="32"/>
        </w:rPr>
      </w:pPr>
      <w:r>
        <w:rPr>
          <w:rStyle w:val="14"/>
          <w:rFonts w:hint="eastAsia" w:ascii="仿宋" w:eastAsia="仿宋"/>
          <w:bCs/>
          <w:color w:val="000000"/>
          <w:sz w:val="32"/>
          <w:szCs w:val="32"/>
        </w:rPr>
        <w:t>4.</w:t>
      </w:r>
      <w:r>
        <w:rPr>
          <w:rStyle w:val="14"/>
          <w:rFonts w:hint="eastAsia" w:ascii="仿宋" w:hAnsi="仿宋" w:eastAsia="仿宋" w:cstheme="minorBidi"/>
          <w:bCs/>
          <w:sz w:val="32"/>
          <w:szCs w:val="32"/>
        </w:rPr>
        <w:t>卫生健康支出（类）行政事业单位医疗（款）行政单位医疗（项）：</w:t>
      </w:r>
      <w:r>
        <w:rPr>
          <w:rStyle w:val="14"/>
          <w:rFonts w:hint="eastAsia" w:ascii="仿宋" w:eastAsia="仿宋"/>
          <w:b w:val="0"/>
          <w:color w:val="000000"/>
          <w:sz w:val="32"/>
          <w:szCs w:val="32"/>
        </w:rPr>
        <w:t>支出决算</w:t>
      </w:r>
      <w:r>
        <w:rPr>
          <w:rStyle w:val="14"/>
          <w:rFonts w:hint="eastAsia" w:ascii="仿宋" w:eastAsia="仿宋"/>
          <w:b w:val="0"/>
          <w:bCs/>
          <w:color w:val="000000"/>
          <w:sz w:val="32"/>
          <w:szCs w:val="32"/>
        </w:rPr>
        <w:t>为35.61万元，完成预</w:t>
      </w:r>
      <w:r>
        <w:rPr>
          <w:rFonts w:hint="eastAsia" w:ascii="仿宋" w:eastAsia="仿宋"/>
          <w:sz w:val="32"/>
          <w:szCs w:val="32"/>
        </w:rPr>
        <w:t>算100%</w:t>
      </w:r>
      <w:r>
        <w:rPr>
          <w:rFonts w:hint="eastAsia" w:ascii="仿宋" w:hAnsi="仿宋" w:eastAsia="仿宋"/>
          <w:color w:val="auto"/>
          <w:kern w:val="2"/>
          <w:sz w:val="32"/>
          <w:szCs w:val="24"/>
          <w:lang w:val="en-US"/>
        </w:rPr>
        <w:t>，决算数与预算数持平</w:t>
      </w:r>
      <w:r>
        <w:rPr>
          <w:rFonts w:hint="eastAsia" w:ascii="仿宋" w:eastAsia="仿宋"/>
          <w:sz w:val="32"/>
          <w:szCs w:val="32"/>
        </w:rPr>
        <w:t>。</w:t>
      </w:r>
    </w:p>
    <w:p>
      <w:pPr>
        <w:spacing w:line="576" w:lineRule="exact"/>
        <w:ind w:firstLine="643" w:firstLineChars="200"/>
        <w:rPr>
          <w:rFonts w:ascii="仿宋" w:eastAsia="仿宋"/>
          <w:sz w:val="32"/>
          <w:szCs w:val="32"/>
        </w:rPr>
      </w:pPr>
      <w:r>
        <w:rPr>
          <w:rStyle w:val="14"/>
          <w:rFonts w:hint="eastAsia" w:ascii="仿宋" w:eastAsia="仿宋"/>
          <w:bCs/>
          <w:color w:val="000000"/>
          <w:sz w:val="32"/>
          <w:szCs w:val="32"/>
        </w:rPr>
        <w:t>5.</w:t>
      </w:r>
      <w:r>
        <w:rPr>
          <w:rStyle w:val="14"/>
          <w:rFonts w:hint="eastAsia" w:ascii="仿宋" w:hAnsi="仿宋" w:eastAsia="仿宋" w:cstheme="minorBidi"/>
          <w:bCs/>
          <w:sz w:val="32"/>
          <w:szCs w:val="32"/>
        </w:rPr>
        <w:t>交通运输支出（类）民用航空运输（款）其他民用航空运输（项）：</w:t>
      </w:r>
      <w:r>
        <w:rPr>
          <w:rFonts w:hint="eastAsia" w:ascii="仿宋" w:eastAsia="仿宋"/>
          <w:sz w:val="32"/>
          <w:szCs w:val="32"/>
        </w:rPr>
        <w:t>支出决算为6675.86万元，完成预算100%</w:t>
      </w:r>
      <w:r>
        <w:rPr>
          <w:rFonts w:hint="eastAsia" w:ascii="仿宋" w:hAnsi="仿宋" w:eastAsia="仿宋"/>
          <w:color w:val="auto"/>
          <w:kern w:val="2"/>
          <w:sz w:val="32"/>
          <w:szCs w:val="24"/>
          <w:lang w:val="en-US"/>
        </w:rPr>
        <w:t>，决算数与预算数持平</w:t>
      </w:r>
      <w:r>
        <w:rPr>
          <w:rFonts w:hint="eastAsia" w:ascii="仿宋" w:eastAsia="仿宋"/>
          <w:sz w:val="32"/>
          <w:szCs w:val="32"/>
        </w:rPr>
        <w:t>。</w:t>
      </w:r>
    </w:p>
    <w:p>
      <w:pPr>
        <w:spacing w:line="576" w:lineRule="exact"/>
        <w:ind w:firstLine="643" w:firstLineChars="200"/>
        <w:rPr>
          <w:rFonts w:ascii="仿宋" w:hAnsi="仿宋" w:eastAsia="仿宋"/>
          <w:b/>
          <w:color w:val="auto"/>
          <w:sz w:val="32"/>
          <w:szCs w:val="32"/>
          <w:highlight w:val="none"/>
        </w:rPr>
      </w:pPr>
      <w:r>
        <w:rPr>
          <w:rFonts w:hint="eastAsia" w:ascii="仿宋" w:eastAsia="仿宋"/>
          <w:b/>
          <w:bCs/>
          <w:sz w:val="32"/>
          <w:szCs w:val="32"/>
        </w:rPr>
        <w:t>6.</w:t>
      </w:r>
      <w:r>
        <w:rPr>
          <w:rStyle w:val="14"/>
          <w:rFonts w:hint="eastAsia" w:ascii="仿宋" w:hAnsi="仿宋" w:eastAsia="仿宋" w:cstheme="minorBidi"/>
          <w:bCs/>
          <w:sz w:val="32"/>
          <w:szCs w:val="32"/>
        </w:rPr>
        <w:t>住房保障支出（类）住房改革支出（款）住房公积金（项）：</w:t>
      </w:r>
      <w:r>
        <w:rPr>
          <w:rStyle w:val="14"/>
          <w:rFonts w:hint="eastAsia" w:ascii="仿宋" w:eastAsia="仿宋"/>
          <w:b w:val="0"/>
          <w:color w:val="000000"/>
          <w:sz w:val="32"/>
          <w:szCs w:val="32"/>
        </w:rPr>
        <w:t>支出决算为</w:t>
      </w:r>
      <w:r>
        <w:rPr>
          <w:rFonts w:hint="eastAsia" w:ascii="仿宋" w:eastAsia="仿宋"/>
          <w:sz w:val="32"/>
          <w:szCs w:val="32"/>
        </w:rPr>
        <w:t>73.57万元, 完成预算100%</w:t>
      </w:r>
      <w:r>
        <w:rPr>
          <w:rFonts w:hint="eastAsia" w:ascii="仿宋" w:hAnsi="仿宋" w:eastAsia="仿宋"/>
          <w:color w:val="auto"/>
          <w:kern w:val="2"/>
          <w:sz w:val="32"/>
          <w:szCs w:val="24"/>
          <w:lang w:val="en-US"/>
        </w:rPr>
        <w:t>，决算数与预算数持平</w:t>
      </w:r>
      <w:r>
        <w:rPr>
          <w:rFonts w:hint="eastAsia" w:ascii="仿宋" w:eastAsia="仿宋"/>
          <w:sz w:val="32"/>
          <w:szCs w:val="32"/>
        </w:rPr>
        <w:t>。</w:t>
      </w:r>
    </w:p>
    <w:p>
      <w:pPr>
        <w:tabs>
          <w:tab w:val="right" w:pos="8306"/>
        </w:tabs>
        <w:spacing w:line="600" w:lineRule="exact"/>
        <w:ind w:firstLine="640"/>
        <w:outlineLvl w:val="1"/>
        <w:rPr>
          <w:rStyle w:val="25"/>
          <w:color w:val="auto"/>
          <w:highlight w:val="none"/>
        </w:rPr>
      </w:pPr>
      <w:bookmarkStart w:id="44" w:name="_Toc15377214"/>
      <w:bookmarkStart w:id="45" w:name="_Toc10921"/>
      <w:bookmarkStart w:id="46"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44"/>
      <w:bookmarkEnd w:id="45"/>
      <w:bookmarkEnd w:id="46"/>
      <w:r>
        <w:rPr>
          <w:rStyle w:val="25"/>
          <w:rFonts w:ascii="黑体" w:hAnsi="黑体" w:eastAsia="黑体"/>
          <w:b w:val="0"/>
          <w:color w:val="auto"/>
          <w:highlight w:val="none"/>
        </w:rPr>
        <w:tab/>
      </w:r>
    </w:p>
    <w:p>
      <w:pPr>
        <w:spacing w:line="576" w:lineRule="exact"/>
        <w:ind w:firstLine="640"/>
        <w:jc w:val="both"/>
        <w:rPr>
          <w:rFonts w:hint="eastAsia" w:ascii="仿宋" w:hAnsi="仿宋" w:eastAsia="仿宋"/>
          <w:color w:val="000000"/>
          <w:kern w:val="2"/>
          <w:sz w:val="32"/>
          <w:szCs w:val="24"/>
          <w:lang w:val="zh-CN"/>
        </w:rPr>
      </w:pPr>
      <w:r>
        <w:rPr>
          <w:rFonts w:hint="eastAsia" w:ascii="仿宋" w:hAnsi="仿宋" w:eastAsia="仿宋"/>
          <w:color w:val="000000"/>
          <w:kern w:val="2"/>
          <w:sz w:val="32"/>
          <w:szCs w:val="24"/>
          <w:lang w:val="zh-CN"/>
        </w:rPr>
        <w:t>2022年一般公共预算财政拨款基本支出1242.61万元，其中：</w:t>
      </w:r>
    </w:p>
    <w:p>
      <w:pPr>
        <w:spacing w:line="576" w:lineRule="exact"/>
        <w:ind w:firstLine="643"/>
        <w:jc w:val="both"/>
        <w:rPr>
          <w:rFonts w:hint="eastAsia" w:ascii="仿宋" w:hAnsi="仿宋" w:eastAsia="仿宋"/>
          <w:color w:val="000000"/>
          <w:kern w:val="2"/>
          <w:sz w:val="32"/>
          <w:szCs w:val="24"/>
          <w:lang w:val="zh-CN"/>
        </w:rPr>
      </w:pPr>
      <w:r>
        <w:rPr>
          <w:rFonts w:hint="eastAsia" w:ascii="仿宋" w:hAnsi="仿宋" w:eastAsia="仿宋"/>
          <w:b/>
          <w:color w:val="000000"/>
          <w:kern w:val="2"/>
          <w:sz w:val="32"/>
          <w:szCs w:val="24"/>
          <w:lang w:val="zh-CN"/>
        </w:rPr>
        <w:t>人员经费</w:t>
      </w:r>
      <w:r>
        <w:rPr>
          <w:rFonts w:hint="eastAsia" w:ascii="仿宋" w:hAnsi="仿宋" w:eastAsia="仿宋"/>
          <w:color w:val="000000"/>
          <w:kern w:val="2"/>
          <w:sz w:val="32"/>
          <w:szCs w:val="24"/>
          <w:lang w:val="zh-CN"/>
        </w:rPr>
        <w:t>1081.12万元，主要包括：</w:t>
      </w:r>
      <w:r>
        <w:rPr>
          <w:rFonts w:hint="eastAsia" w:ascii="仿宋" w:hAnsi="仿宋" w:eastAsia="仿宋"/>
          <w:color w:val="auto"/>
          <w:kern w:val="2"/>
          <w:sz w:val="32"/>
          <w:szCs w:val="24"/>
          <w:lang w:val="en-US"/>
        </w:rPr>
        <w:t>基本工资、津贴补贴、奖金、绩效工资、机关事业单位基本养老保险缴费、职业年金缴费、职工基本医疗保险缴费</w:t>
      </w:r>
      <w:r>
        <w:rPr>
          <w:rFonts w:hint="eastAsia" w:ascii="仿宋" w:hAnsi="仿宋" w:eastAsia="仿宋"/>
          <w:color w:val="auto"/>
          <w:kern w:val="2"/>
          <w:sz w:val="32"/>
          <w:szCs w:val="24"/>
          <w:lang w:val="en-US" w:eastAsia="zh-CN"/>
        </w:rPr>
        <w:t>、</w:t>
      </w:r>
      <w:r>
        <w:rPr>
          <w:rFonts w:hint="eastAsia" w:ascii="仿宋" w:hAnsi="仿宋" w:eastAsia="仿宋"/>
          <w:color w:val="auto"/>
          <w:kern w:val="2"/>
          <w:sz w:val="32"/>
          <w:szCs w:val="24"/>
          <w:lang w:val="en-US"/>
        </w:rPr>
        <w:t>其他社会保障缴费、住房公积金、其他工资福利支出、离休费、生活补助</w:t>
      </w:r>
      <w:r>
        <w:rPr>
          <w:rFonts w:hint="eastAsia" w:ascii="仿宋" w:hAnsi="仿宋" w:eastAsia="仿宋"/>
          <w:color w:val="auto"/>
          <w:kern w:val="2"/>
          <w:sz w:val="32"/>
          <w:szCs w:val="24"/>
          <w:lang w:val="en-US" w:eastAsia="zh-CN"/>
        </w:rPr>
        <w:t>、</w:t>
      </w:r>
      <w:r>
        <w:rPr>
          <w:rFonts w:hint="eastAsia" w:ascii="仿宋" w:hAnsi="仿宋" w:eastAsia="仿宋"/>
          <w:color w:val="auto"/>
          <w:kern w:val="2"/>
          <w:sz w:val="32"/>
          <w:szCs w:val="24"/>
          <w:lang w:val="en-US"/>
        </w:rPr>
        <w:t>奖励金等</w:t>
      </w:r>
      <w:r>
        <w:rPr>
          <w:rFonts w:hint="eastAsia" w:ascii="仿宋" w:hAnsi="仿宋" w:eastAsia="仿宋"/>
          <w:color w:val="000000"/>
          <w:kern w:val="2"/>
          <w:sz w:val="32"/>
          <w:szCs w:val="24"/>
          <w:lang w:val="zh-CN"/>
        </w:rPr>
        <w:t>。</w:t>
      </w:r>
    </w:p>
    <w:p>
      <w:pPr>
        <w:spacing w:line="576" w:lineRule="exact"/>
        <w:ind w:firstLine="643"/>
        <w:jc w:val="both"/>
        <w:rPr>
          <w:rFonts w:hint="eastAsia" w:ascii="仿宋" w:hAnsi="仿宋" w:eastAsia="仿宋"/>
          <w:color w:val="000000"/>
          <w:kern w:val="2"/>
          <w:sz w:val="32"/>
          <w:szCs w:val="24"/>
          <w:lang w:val="zh-CN"/>
        </w:rPr>
      </w:pPr>
      <w:r>
        <w:rPr>
          <w:rFonts w:hint="eastAsia" w:ascii="仿宋" w:hAnsi="仿宋" w:eastAsia="仿宋"/>
          <w:b/>
          <w:color w:val="000000"/>
          <w:kern w:val="2"/>
          <w:sz w:val="32"/>
          <w:szCs w:val="24"/>
          <w:lang w:val="zh-CN"/>
        </w:rPr>
        <w:t>公用经费</w:t>
      </w:r>
      <w:r>
        <w:rPr>
          <w:rFonts w:hint="eastAsia" w:ascii="仿宋" w:hAnsi="仿宋" w:eastAsia="仿宋"/>
          <w:color w:val="000000"/>
          <w:kern w:val="2"/>
          <w:sz w:val="32"/>
          <w:szCs w:val="24"/>
          <w:lang w:val="zh-CN"/>
        </w:rPr>
        <w:t>161.49万元，主要包括：</w:t>
      </w:r>
      <w:r>
        <w:rPr>
          <w:rFonts w:hint="eastAsia" w:ascii="仿宋" w:hAnsi="仿宋" w:eastAsia="仿宋"/>
          <w:color w:val="auto"/>
          <w:kern w:val="2"/>
          <w:sz w:val="32"/>
          <w:szCs w:val="24"/>
          <w:lang w:val="en-US"/>
        </w:rPr>
        <w:t>办公费、手续费、水费、电费、邮电费、物业管理费、维修（护）费、会议费、培训费、公务接待费、工会经费、公务用车运行维护费、其他交通费其他商品和服务支出等</w:t>
      </w:r>
      <w:r>
        <w:rPr>
          <w:rFonts w:hint="eastAsia" w:ascii="仿宋" w:hAnsi="仿宋" w:eastAsia="仿宋"/>
          <w:color w:val="000000"/>
          <w:kern w:val="2"/>
          <w:sz w:val="32"/>
          <w:szCs w:val="24"/>
          <w:lang w:val="zh-CN"/>
        </w:rPr>
        <w:t>。</w:t>
      </w:r>
    </w:p>
    <w:p>
      <w:pPr>
        <w:spacing w:line="600" w:lineRule="exact"/>
        <w:ind w:firstLine="640"/>
        <w:outlineLvl w:val="1"/>
        <w:rPr>
          <w:rStyle w:val="25"/>
          <w:rFonts w:ascii="黑体" w:hAnsi="黑体" w:eastAsia="黑体"/>
          <w:b w:val="0"/>
          <w:color w:val="auto"/>
          <w:highlight w:val="none"/>
        </w:rPr>
      </w:pPr>
      <w:bookmarkStart w:id="47" w:name="_Toc15396609"/>
      <w:bookmarkStart w:id="48" w:name="_Toc116"/>
      <w:bookmarkStart w:id="49" w:name="_Toc15377215"/>
      <w:r>
        <w:rPr>
          <w:rFonts w:hint="eastAsia" w:ascii="黑体" w:eastAsia="黑体"/>
          <w:color w:val="auto"/>
          <w:sz w:val="32"/>
          <w:szCs w:val="32"/>
          <w:highlight w:val="none"/>
        </w:rPr>
        <w:t>七、</w:t>
      </w:r>
      <w:r>
        <w:rPr>
          <w:rStyle w:val="25"/>
          <w:rFonts w:hint="eastAsia" w:ascii="黑体" w:hAnsi="黑体" w:eastAsia="黑体"/>
          <w:b w:val="0"/>
          <w:color w:val="auto"/>
          <w:highlight w:val="none"/>
        </w:rPr>
        <w:t>财政拨款</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三公”经费支出决算情况说明</w:t>
      </w:r>
      <w:bookmarkEnd w:id="47"/>
      <w:bookmarkEnd w:id="48"/>
      <w:bookmarkEnd w:id="49"/>
    </w:p>
    <w:p>
      <w:pPr>
        <w:spacing w:line="600" w:lineRule="exact"/>
        <w:ind w:firstLine="640"/>
        <w:outlineLvl w:val="2"/>
        <w:rPr>
          <w:rFonts w:ascii="仿宋" w:hAnsi="仿宋" w:eastAsia="仿宋"/>
          <w:b/>
          <w:color w:val="auto"/>
          <w:sz w:val="32"/>
          <w:szCs w:val="32"/>
          <w:highlight w:val="none"/>
        </w:rPr>
      </w:pPr>
      <w:bookmarkStart w:id="50" w:name="_Toc15377216"/>
      <w:bookmarkStart w:id="51" w:name="_Toc30894"/>
      <w:r>
        <w:rPr>
          <w:rFonts w:hint="eastAsia" w:ascii="仿宋" w:hAnsi="仿宋" w:eastAsia="仿宋"/>
          <w:b/>
          <w:color w:val="auto"/>
          <w:sz w:val="32"/>
          <w:szCs w:val="32"/>
          <w:highlight w:val="none"/>
        </w:rPr>
        <w:t>（一）“三公”经费财政拨款支出决算总体情况说明</w:t>
      </w:r>
      <w:bookmarkEnd w:id="50"/>
      <w:bookmarkEnd w:id="51"/>
    </w:p>
    <w:p>
      <w:pPr>
        <w:ind w:firstLine="640"/>
        <w:rPr>
          <w:rFonts w:ascii="仿宋" w:hAnsi="仿宋" w:eastAsia="仿宋"/>
          <w:sz w:val="32"/>
          <w:szCs w:val="32"/>
        </w:rPr>
      </w:pPr>
      <w:r>
        <w:rPr>
          <w:rFonts w:hint="eastAsia" w:ascii="仿宋" w:hAnsi="仿宋" w:eastAsia="仿宋"/>
          <w:color w:val="000000"/>
          <w:kern w:val="2"/>
          <w:sz w:val="32"/>
          <w:szCs w:val="24"/>
          <w:lang w:val="zh-CN"/>
        </w:rPr>
        <w:t>2022年“三公”经费财政拨款支出决算为36.23万元，完成预算90.9%；较上年增加2.5万元，增长7.4%。决算数小于预算数的主要原因是</w:t>
      </w:r>
      <w:r>
        <w:rPr>
          <w:rFonts w:hint="eastAsia" w:ascii="仿宋" w:hAnsi="仿宋" w:eastAsia="仿宋" w:cs="仿宋"/>
          <w:sz w:val="32"/>
          <w:szCs w:val="32"/>
        </w:rPr>
        <w:t>倡导厉行节约，精简开支，规范公务接待，严格控制公务接待标准和陪餐人数。</w:t>
      </w:r>
    </w:p>
    <w:p>
      <w:pPr>
        <w:spacing w:line="600" w:lineRule="exact"/>
        <w:ind w:firstLine="640"/>
        <w:outlineLvl w:val="2"/>
        <w:rPr>
          <w:rFonts w:hint="eastAsia" w:ascii="仿宋" w:hAnsi="仿宋" w:eastAsia="仿宋"/>
          <w:b/>
          <w:color w:val="auto"/>
          <w:sz w:val="32"/>
          <w:szCs w:val="32"/>
          <w:highlight w:val="none"/>
        </w:rPr>
      </w:pPr>
      <w:bookmarkStart w:id="52" w:name="_Toc15377217"/>
      <w:bookmarkStart w:id="53" w:name="_Toc23586"/>
      <w:r>
        <w:rPr>
          <w:rFonts w:hint="eastAsia" w:ascii="仿宋" w:hAnsi="仿宋" w:eastAsia="仿宋"/>
          <w:b/>
          <w:color w:val="auto"/>
          <w:sz w:val="32"/>
          <w:szCs w:val="32"/>
          <w:highlight w:val="none"/>
        </w:rPr>
        <w:t>（二）“三公”经费财政拨款支出决算具体情况说明</w:t>
      </w:r>
      <w:bookmarkEnd w:id="52"/>
      <w:bookmarkEnd w:id="53"/>
    </w:p>
    <w:p>
      <w:pPr>
        <w:spacing w:line="600" w:lineRule="exact"/>
        <w:ind w:firstLine="640"/>
        <w:outlineLvl w:val="2"/>
        <w:rPr>
          <w:rFonts w:ascii="仿宋" w:hAnsi="仿宋" w:eastAsia="仿宋"/>
          <w:color w:val="auto"/>
          <w:sz w:val="32"/>
          <w:szCs w:val="32"/>
          <w:highlight w:val="none"/>
        </w:rPr>
      </w:pPr>
      <w:r>
        <w:rPr>
          <w:rFonts w:hint="eastAsia" w:ascii="仿宋" w:hAnsi="仿宋" w:eastAsia="仿宋"/>
          <w:color w:val="000000"/>
          <w:kern w:val="2"/>
          <w:sz w:val="32"/>
          <w:szCs w:val="24"/>
          <w:lang w:val="zh-CN"/>
        </w:rPr>
        <w:t>2022年“三公”经费财政拨款支出决算中，因公出国（境）费支出决算0万元，占0%；公务用车购置及运行维护费支出决算32.76万元，占90.4%；公务接待费支出决算3.47万元，占9.6%。具体情况如下：</w:t>
      </w:r>
    </w:p>
    <w:p>
      <w:pPr>
        <w:pStyle w:val="2"/>
        <w:jc w:val="center"/>
      </w:pPr>
      <w:r>
        <w:drawing>
          <wp:inline distT="0" distB="0" distL="114300" distR="114300">
            <wp:extent cx="4572000" cy="2521585"/>
            <wp:effectExtent l="4445" t="4445" r="14605" b="762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pPr>
        <w:spacing w:line="600" w:lineRule="exact"/>
        <w:ind w:firstLine="640"/>
        <w:rPr>
          <w:rFonts w:hint="eastAsia" w:ascii="仿宋" w:eastAsia="仿宋"/>
          <w:sz w:val="32"/>
          <w:szCs w:val="32"/>
        </w:rPr>
      </w:pPr>
      <w:r>
        <w:rPr>
          <w:rFonts w:ascii="仿宋" w:eastAsia="仿宋"/>
          <w:b/>
          <w:color w:val="auto"/>
          <w:sz w:val="32"/>
          <w:szCs w:val="32"/>
          <w:highlight w:val="none"/>
        </w:rPr>
        <w:t>1.</w:t>
      </w:r>
      <w:r>
        <w:rPr>
          <w:rFonts w:hint="eastAsia" w:ascii="仿宋" w:hAnsi="仿宋" w:eastAsia="仿宋"/>
          <w:b/>
          <w:sz w:val="32"/>
          <w:szCs w:val="32"/>
        </w:rPr>
        <w:t>因公出国</w:t>
      </w:r>
      <w:r>
        <w:rPr>
          <w:rFonts w:hint="eastAsia" w:ascii="仿宋" w:eastAsia="仿宋"/>
          <w:b/>
          <w:sz w:val="32"/>
          <w:szCs w:val="32"/>
        </w:rPr>
        <w:t>（境）</w:t>
      </w:r>
      <w:r>
        <w:rPr>
          <w:rFonts w:hint="eastAsia" w:ascii="仿宋" w:hAnsi="仿宋" w:eastAsia="仿宋"/>
          <w:b/>
          <w:sz w:val="32"/>
          <w:szCs w:val="32"/>
        </w:rPr>
        <w:t>经费支出0万元，年初未安排预算</w:t>
      </w:r>
      <w:r>
        <w:rPr>
          <w:rStyle w:val="14"/>
          <w:rFonts w:hint="eastAsia" w:ascii="仿宋" w:hAnsi="仿宋" w:eastAsia="仿宋"/>
          <w:b w:val="0"/>
          <w:bCs/>
          <w:sz w:val="32"/>
          <w:szCs w:val="32"/>
        </w:rPr>
        <w:t>。</w:t>
      </w:r>
      <w:r>
        <w:rPr>
          <w:rFonts w:hint="eastAsia" w:ascii="仿宋" w:hAnsi="仿宋" w:eastAsia="仿宋"/>
          <w:b/>
          <w:sz w:val="32"/>
          <w:szCs w:val="32"/>
        </w:rPr>
        <w:t>因公出国</w:t>
      </w:r>
      <w:r>
        <w:rPr>
          <w:rFonts w:hint="eastAsia" w:ascii="仿宋" w:eastAsia="仿宋"/>
          <w:b/>
          <w:sz w:val="32"/>
          <w:szCs w:val="32"/>
        </w:rPr>
        <w:t>（境）</w:t>
      </w:r>
      <w:r>
        <w:rPr>
          <w:rFonts w:hint="eastAsia" w:ascii="仿宋" w:hAnsi="仿宋" w:eastAsia="仿宋"/>
          <w:b/>
          <w:sz w:val="32"/>
          <w:szCs w:val="32"/>
        </w:rPr>
        <w:t>支出决算较202</w:t>
      </w:r>
      <w:r>
        <w:rPr>
          <w:rFonts w:hint="eastAsia" w:ascii="仿宋" w:hAnsi="仿宋" w:eastAsia="仿宋"/>
          <w:b/>
          <w:sz w:val="32"/>
          <w:szCs w:val="32"/>
          <w:lang w:val="en-US" w:eastAsia="zh-CN"/>
        </w:rPr>
        <w:t>1</w:t>
      </w:r>
      <w:r>
        <w:rPr>
          <w:rFonts w:hint="eastAsia" w:ascii="仿宋" w:hAnsi="仿宋" w:eastAsia="仿宋"/>
          <w:b/>
          <w:sz w:val="32"/>
          <w:szCs w:val="32"/>
        </w:rPr>
        <w:t>年无变化</w:t>
      </w:r>
      <w:r>
        <w:rPr>
          <w:rFonts w:hint="eastAsia" w:ascii="仿宋" w:eastAsia="仿宋"/>
          <w:sz w:val="32"/>
          <w:szCs w:val="32"/>
        </w:rPr>
        <w:t>。</w:t>
      </w:r>
    </w:p>
    <w:p>
      <w:pPr>
        <w:spacing w:line="600" w:lineRule="exact"/>
        <w:ind w:firstLine="640"/>
        <w:rPr>
          <w:rFonts w:hint="eastAsia" w:ascii="仿宋" w:hAnsi="仿宋" w:eastAsia="仿宋"/>
          <w:color w:val="000000"/>
          <w:kern w:val="2"/>
          <w:sz w:val="32"/>
          <w:szCs w:val="24"/>
          <w:lang w:val="zh-CN"/>
        </w:rPr>
      </w:pPr>
      <w:r>
        <w:rPr>
          <w:rFonts w:hint="eastAsia" w:ascii="仿宋" w:hAnsi="仿宋" w:eastAsia="仿宋"/>
          <w:b/>
          <w:color w:val="000000"/>
          <w:kern w:val="2"/>
          <w:sz w:val="32"/>
          <w:szCs w:val="24"/>
          <w:lang w:val="zh-CN"/>
        </w:rPr>
        <w:t>2.公务用车购置及运行维护费</w:t>
      </w:r>
      <w:r>
        <w:rPr>
          <w:rFonts w:hint="eastAsia" w:ascii="仿宋" w:hAnsi="仿宋" w:eastAsia="仿宋"/>
          <w:color w:val="000000"/>
          <w:kern w:val="2"/>
          <w:sz w:val="32"/>
          <w:szCs w:val="24"/>
          <w:lang w:val="zh-CN"/>
        </w:rPr>
        <w:t>支出32.76万元，完成预算90%。公务用车购置及运行维护费支出决算比2021年增加0.04万元，增长0.1%。主要原因是</w:t>
      </w:r>
      <w:r>
        <w:rPr>
          <w:rFonts w:hint="eastAsia" w:ascii="仿宋" w:hAnsi="仿宋" w:eastAsia="仿宋"/>
          <w:color w:val="0D0D0D"/>
          <w:sz w:val="32"/>
          <w:szCs w:val="32"/>
        </w:rPr>
        <w:t>公务车辆派遣次数</w:t>
      </w:r>
      <w:r>
        <w:rPr>
          <w:rFonts w:hint="eastAsia" w:ascii="仿宋" w:hAnsi="仿宋" w:eastAsia="仿宋"/>
          <w:color w:val="0D0D0D"/>
          <w:sz w:val="32"/>
          <w:szCs w:val="32"/>
          <w:lang w:val="en-US" w:eastAsia="zh-CN"/>
        </w:rPr>
        <w:t>增加，</w:t>
      </w:r>
      <w:r>
        <w:rPr>
          <w:rFonts w:hint="eastAsia" w:ascii="仿宋" w:hAnsi="仿宋" w:eastAsia="仿宋"/>
          <w:color w:val="0D0D0D"/>
          <w:sz w:val="32"/>
          <w:szCs w:val="32"/>
        </w:rPr>
        <w:t>公务车辆运行维护成本</w:t>
      </w:r>
      <w:r>
        <w:rPr>
          <w:rFonts w:hint="eastAsia" w:ascii="仿宋" w:hAnsi="仿宋" w:eastAsia="仿宋"/>
          <w:color w:val="0D0D0D"/>
          <w:sz w:val="32"/>
          <w:szCs w:val="32"/>
          <w:lang w:val="en-US" w:eastAsia="zh-CN"/>
        </w:rPr>
        <w:t>增加</w:t>
      </w:r>
      <w:r>
        <w:rPr>
          <w:rFonts w:hint="eastAsia" w:ascii="仿宋" w:hAnsi="仿宋" w:eastAsia="仿宋"/>
          <w:color w:val="000000"/>
          <w:kern w:val="2"/>
          <w:sz w:val="32"/>
          <w:szCs w:val="24"/>
          <w:lang w:val="zh-CN"/>
        </w:rPr>
        <w:t>。</w:t>
      </w:r>
    </w:p>
    <w:p>
      <w:pPr>
        <w:keepNext/>
        <w:keepLines/>
        <w:spacing w:line="576" w:lineRule="exact"/>
        <w:ind w:firstLine="640"/>
        <w:jc w:val="both"/>
        <w:rPr>
          <w:rFonts w:hint="eastAsia" w:ascii="仿宋" w:hAnsi="仿宋" w:eastAsia="仿宋"/>
          <w:color w:val="000000"/>
          <w:kern w:val="2"/>
          <w:sz w:val="32"/>
          <w:szCs w:val="24"/>
          <w:lang w:val="zh-CN"/>
        </w:rPr>
      </w:pPr>
      <w:r>
        <w:rPr>
          <w:rFonts w:hint="eastAsia" w:ascii="仿宋" w:hAnsi="仿宋" w:eastAsia="仿宋"/>
          <w:color w:val="000000"/>
          <w:kern w:val="2"/>
          <w:sz w:val="32"/>
          <w:szCs w:val="24"/>
          <w:lang w:val="zh-CN"/>
        </w:rPr>
        <w:t>其中：</w:t>
      </w:r>
      <w:r>
        <w:rPr>
          <w:rFonts w:hint="eastAsia" w:ascii="仿宋" w:hAnsi="仿宋" w:eastAsia="仿宋"/>
          <w:b/>
          <w:color w:val="000000"/>
          <w:kern w:val="2"/>
          <w:sz w:val="32"/>
          <w:szCs w:val="24"/>
          <w:lang w:val="zh-CN"/>
        </w:rPr>
        <w:t>公务用车购置费</w:t>
      </w:r>
      <w:r>
        <w:rPr>
          <w:rFonts w:hint="eastAsia" w:ascii="仿宋" w:hAnsi="仿宋" w:eastAsia="仿宋"/>
          <w:color w:val="000000"/>
          <w:kern w:val="2"/>
          <w:sz w:val="32"/>
          <w:szCs w:val="24"/>
          <w:lang w:val="zh-CN"/>
        </w:rPr>
        <w:t>支出0万元。截至2022年12月底，本部门共有公务用车5辆，其中：</w:t>
      </w:r>
      <w:r>
        <w:rPr>
          <w:rFonts w:hint="eastAsia" w:ascii="仿宋" w:eastAsia="仿宋"/>
          <w:sz w:val="32"/>
          <w:szCs w:val="32"/>
        </w:rPr>
        <w:t>轿车3辆、越野车2辆</w:t>
      </w:r>
      <w:r>
        <w:rPr>
          <w:rFonts w:hint="eastAsia" w:ascii="仿宋" w:hAnsi="仿宋" w:eastAsia="仿宋"/>
          <w:color w:val="000000"/>
          <w:kern w:val="2"/>
          <w:sz w:val="32"/>
          <w:szCs w:val="24"/>
          <w:lang w:val="zh-CN"/>
        </w:rPr>
        <w:t>。</w:t>
      </w:r>
    </w:p>
    <w:p>
      <w:pPr>
        <w:spacing w:line="600" w:lineRule="exact"/>
        <w:ind w:firstLine="640"/>
        <w:rPr>
          <w:rFonts w:hint="eastAsia" w:ascii="仿宋" w:eastAsia="仿宋"/>
          <w:color w:val="000000"/>
          <w:sz w:val="32"/>
          <w:szCs w:val="32"/>
        </w:rPr>
      </w:pPr>
      <w:r>
        <w:rPr>
          <w:rFonts w:hint="eastAsia" w:ascii="仿宋" w:hAnsi="仿宋" w:eastAsia="仿宋"/>
          <w:b/>
          <w:color w:val="000000"/>
          <w:kern w:val="2"/>
          <w:sz w:val="32"/>
          <w:szCs w:val="24"/>
          <w:lang w:val="zh-CN"/>
        </w:rPr>
        <w:t>公务用车运行维护费</w:t>
      </w:r>
      <w:r>
        <w:rPr>
          <w:rFonts w:hint="eastAsia" w:ascii="仿宋" w:hAnsi="仿宋" w:eastAsia="仿宋"/>
          <w:color w:val="000000"/>
          <w:kern w:val="2"/>
          <w:sz w:val="32"/>
          <w:szCs w:val="24"/>
          <w:lang w:val="zh-CN"/>
        </w:rPr>
        <w:t>支出32.76万元。主要用于</w:t>
      </w:r>
      <w:r>
        <w:rPr>
          <w:rFonts w:hint="eastAsia" w:ascii="仿宋" w:eastAsia="仿宋"/>
          <w:color w:val="000000"/>
          <w:sz w:val="32"/>
          <w:szCs w:val="32"/>
        </w:rPr>
        <w:t>主要用于</w:t>
      </w:r>
      <w:r>
        <w:rPr>
          <w:rFonts w:hint="eastAsia" w:ascii="仿宋" w:eastAsia="仿宋"/>
          <w:sz w:val="32"/>
          <w:szCs w:val="32"/>
        </w:rPr>
        <w:t>公共文化服务体系建设、艺术创作、非物质文化遗产保护利用、旅游行业管理、景区创建及质量评定、文旅资源普查、文化旅游宣传推介、广播电视网络视听行业监管、广播电视信号传输保障、文物保护利用、考古发掘、航空事业发展、脱贫攻坚</w:t>
      </w:r>
      <w:r>
        <w:rPr>
          <w:rFonts w:hint="eastAsia" w:ascii="仿宋" w:eastAsia="仿宋"/>
          <w:color w:val="000000"/>
          <w:sz w:val="32"/>
          <w:szCs w:val="32"/>
        </w:rPr>
        <w:t>等所需的公务用车燃料费、维修费、过路过桥费、保险费等支出。</w:t>
      </w:r>
    </w:p>
    <w:p>
      <w:pPr>
        <w:spacing w:line="600" w:lineRule="exact"/>
        <w:ind w:firstLine="640"/>
        <w:rPr>
          <w:rFonts w:hint="eastAsia" w:ascii="仿宋" w:hAnsi="仿宋" w:eastAsia="仿宋"/>
          <w:color w:val="000000"/>
          <w:kern w:val="2"/>
          <w:sz w:val="32"/>
          <w:szCs w:val="24"/>
          <w:lang w:val="zh-CN"/>
        </w:rPr>
      </w:pPr>
      <w:r>
        <w:rPr>
          <w:rFonts w:ascii="仿宋" w:eastAsia="仿宋"/>
          <w:b/>
          <w:color w:val="auto"/>
          <w:sz w:val="32"/>
          <w:szCs w:val="32"/>
          <w:highlight w:val="none"/>
        </w:rPr>
        <w:t>3.</w:t>
      </w:r>
      <w:r>
        <w:rPr>
          <w:rFonts w:hint="eastAsia" w:ascii="仿宋" w:hAnsi="仿宋" w:eastAsia="仿宋"/>
          <w:b/>
          <w:color w:val="000000"/>
          <w:kern w:val="2"/>
          <w:sz w:val="32"/>
          <w:szCs w:val="24"/>
          <w:lang w:val="zh-CN"/>
        </w:rPr>
        <w:t>公务接待费</w:t>
      </w:r>
      <w:r>
        <w:rPr>
          <w:rFonts w:hint="eastAsia" w:ascii="仿宋" w:hAnsi="仿宋" w:eastAsia="仿宋"/>
          <w:color w:val="000000"/>
          <w:kern w:val="2"/>
          <w:sz w:val="32"/>
          <w:szCs w:val="24"/>
          <w:lang w:val="zh-CN"/>
        </w:rPr>
        <w:t>支出3.47万元，完成预算100%。公务接待费支出决算比2021年增加2.47万元，增长247%。主要原因是</w:t>
      </w:r>
      <w:r>
        <w:rPr>
          <w:rFonts w:hint="eastAsia" w:ascii="仿宋" w:eastAsia="仿宋"/>
          <w:sz w:val="32"/>
          <w:szCs w:val="32"/>
        </w:rPr>
        <w:t>202</w:t>
      </w:r>
      <w:r>
        <w:rPr>
          <w:rFonts w:hint="eastAsia" w:ascii="仿宋" w:eastAsia="仿宋"/>
          <w:sz w:val="32"/>
          <w:szCs w:val="32"/>
          <w:lang w:val="en-US" w:eastAsia="zh-CN"/>
        </w:rPr>
        <w:t>2</w:t>
      </w:r>
      <w:r>
        <w:rPr>
          <w:rFonts w:hint="eastAsia" w:ascii="仿宋" w:eastAsia="仿宋"/>
          <w:sz w:val="32"/>
          <w:szCs w:val="32"/>
        </w:rPr>
        <w:t>年度</w:t>
      </w:r>
      <w:r>
        <w:rPr>
          <w:rFonts w:hint="eastAsia" w:ascii="仿宋" w:eastAsia="仿宋"/>
          <w:sz w:val="32"/>
          <w:szCs w:val="32"/>
          <w:lang w:val="en-US" w:eastAsia="zh-CN"/>
        </w:rPr>
        <w:t>国内</w:t>
      </w:r>
      <w:r>
        <w:rPr>
          <w:rFonts w:hint="eastAsia" w:ascii="仿宋" w:eastAsia="仿宋"/>
          <w:sz w:val="32"/>
          <w:szCs w:val="32"/>
        </w:rPr>
        <w:t>接待</w:t>
      </w:r>
      <w:r>
        <w:rPr>
          <w:rFonts w:hint="eastAsia" w:ascii="仿宋" w:eastAsia="仿宋"/>
          <w:sz w:val="32"/>
          <w:szCs w:val="32"/>
          <w:lang w:val="en-US" w:eastAsia="zh-CN"/>
        </w:rPr>
        <w:t>人</w:t>
      </w:r>
      <w:r>
        <w:rPr>
          <w:rFonts w:hint="eastAsia" w:ascii="仿宋" w:eastAsia="仿宋"/>
          <w:sz w:val="32"/>
          <w:szCs w:val="32"/>
        </w:rPr>
        <w:t>次</w:t>
      </w:r>
      <w:r>
        <w:rPr>
          <w:rFonts w:hint="eastAsia" w:ascii="仿宋" w:eastAsia="仿宋"/>
          <w:sz w:val="32"/>
          <w:szCs w:val="32"/>
          <w:lang w:val="en-US" w:eastAsia="zh-CN"/>
        </w:rPr>
        <w:t>较2021年增加</w:t>
      </w:r>
      <w:r>
        <w:rPr>
          <w:rFonts w:hint="eastAsia" w:ascii="仿宋" w:hAnsi="仿宋" w:eastAsia="仿宋"/>
          <w:color w:val="000000"/>
          <w:kern w:val="2"/>
          <w:sz w:val="32"/>
          <w:szCs w:val="24"/>
          <w:lang w:val="zh-CN"/>
        </w:rPr>
        <w:t>。其中：</w:t>
      </w:r>
    </w:p>
    <w:p>
      <w:pPr>
        <w:spacing w:line="600" w:lineRule="exact"/>
        <w:ind w:firstLine="640"/>
        <w:rPr>
          <w:rFonts w:hint="eastAsia" w:ascii="仿宋" w:hAnsi="仿宋" w:eastAsia="仿宋"/>
          <w:color w:val="000000"/>
          <w:kern w:val="2"/>
          <w:sz w:val="32"/>
          <w:szCs w:val="24"/>
          <w:lang w:val="en-US"/>
        </w:rPr>
      </w:pPr>
      <w:r>
        <w:rPr>
          <w:rFonts w:hint="eastAsia" w:ascii="仿宋" w:hAnsi="仿宋" w:eastAsia="仿宋"/>
          <w:b/>
          <w:color w:val="000000"/>
          <w:kern w:val="2"/>
          <w:sz w:val="32"/>
          <w:szCs w:val="24"/>
          <w:lang w:val="zh-CN"/>
        </w:rPr>
        <w:t>国内公务接待</w:t>
      </w:r>
      <w:r>
        <w:rPr>
          <w:rFonts w:hint="eastAsia" w:ascii="仿宋" w:hAnsi="仿宋" w:eastAsia="仿宋"/>
          <w:color w:val="000000"/>
          <w:kern w:val="2"/>
          <w:sz w:val="32"/>
          <w:szCs w:val="24"/>
          <w:lang w:val="zh-CN"/>
        </w:rPr>
        <w:t>支出3.47万元。主要用于</w:t>
      </w:r>
      <w:r>
        <w:rPr>
          <w:rFonts w:hint="eastAsia" w:ascii="仿宋" w:eastAsia="仿宋"/>
          <w:color w:val="000000"/>
          <w:sz w:val="32"/>
          <w:szCs w:val="32"/>
        </w:rPr>
        <w:t>接待上级行业主管部门检查调研</w:t>
      </w:r>
      <w:r>
        <w:rPr>
          <w:rFonts w:hint="eastAsia" w:ascii="仿宋" w:eastAsia="仿宋"/>
          <w:color w:val="000000"/>
          <w:sz w:val="32"/>
          <w:szCs w:val="32"/>
          <w:lang w:eastAsia="zh-CN"/>
        </w:rPr>
        <w:t>、</w:t>
      </w:r>
      <w:r>
        <w:rPr>
          <w:rFonts w:hint="eastAsia" w:ascii="仿宋" w:eastAsia="仿宋"/>
          <w:color w:val="000000"/>
          <w:sz w:val="32"/>
          <w:szCs w:val="32"/>
        </w:rPr>
        <w:t>外市同行业部门</w:t>
      </w:r>
      <w:r>
        <w:rPr>
          <w:rFonts w:hint="eastAsia" w:ascii="仿宋" w:hAnsi="仿宋" w:eastAsia="仿宋"/>
          <w:color w:val="000000"/>
          <w:kern w:val="2"/>
          <w:sz w:val="32"/>
          <w:szCs w:val="24"/>
          <w:highlight w:val="white"/>
          <w:lang w:val="en-US"/>
        </w:rPr>
        <w:t>开展业务活动</w:t>
      </w:r>
      <w:r>
        <w:rPr>
          <w:rFonts w:hint="eastAsia" w:ascii="仿宋" w:hAnsi="仿宋" w:eastAsia="仿宋"/>
          <w:color w:val="000000"/>
          <w:kern w:val="2"/>
          <w:sz w:val="32"/>
          <w:szCs w:val="24"/>
          <w:highlight w:val="white"/>
          <w:lang w:val="en-US" w:eastAsia="zh-CN"/>
        </w:rPr>
        <w:t>、</w:t>
      </w:r>
      <w:r>
        <w:rPr>
          <w:rFonts w:hint="eastAsia" w:ascii="仿宋" w:eastAsia="仿宋"/>
          <w:color w:val="000000"/>
          <w:sz w:val="32"/>
          <w:szCs w:val="32"/>
          <w:lang w:val="en-US" w:eastAsia="zh-CN"/>
        </w:rPr>
        <w:t>离退休干部活动代垫费、</w:t>
      </w:r>
      <w:r>
        <w:rPr>
          <w:rFonts w:hint="eastAsia" w:ascii="仿宋" w:eastAsia="仿宋"/>
          <w:color w:val="000000"/>
          <w:sz w:val="32"/>
          <w:szCs w:val="32"/>
        </w:rPr>
        <w:t>外市同行业</w:t>
      </w:r>
      <w:r>
        <w:rPr>
          <w:rFonts w:hint="eastAsia" w:ascii="仿宋" w:eastAsia="仿宋"/>
          <w:color w:val="000000"/>
          <w:sz w:val="32"/>
          <w:szCs w:val="32"/>
          <w:lang w:val="en-US" w:eastAsia="zh-CN"/>
        </w:rPr>
        <w:t>集团公司考察</w:t>
      </w:r>
      <w:r>
        <w:rPr>
          <w:rFonts w:hint="eastAsia" w:ascii="仿宋" w:eastAsia="仿宋"/>
          <w:color w:val="000000"/>
          <w:sz w:val="32"/>
          <w:szCs w:val="32"/>
        </w:rPr>
        <w:t>交流学习</w:t>
      </w:r>
      <w:r>
        <w:rPr>
          <w:rFonts w:hint="eastAsia" w:ascii="仿宋" w:eastAsia="仿宋"/>
          <w:color w:val="000000"/>
          <w:sz w:val="32"/>
          <w:szCs w:val="32"/>
          <w:lang w:eastAsia="zh-CN"/>
        </w:rPr>
        <w:t>、</w:t>
      </w:r>
      <w:r>
        <w:rPr>
          <w:rFonts w:hint="eastAsia" w:ascii="仿宋" w:eastAsia="仿宋"/>
          <w:color w:val="000000"/>
          <w:sz w:val="32"/>
          <w:szCs w:val="32"/>
          <w:lang w:val="en-US" w:eastAsia="zh-CN"/>
        </w:rPr>
        <w:t>专家组抽查复核建设项目</w:t>
      </w:r>
      <w:r>
        <w:rPr>
          <w:rFonts w:hint="eastAsia" w:ascii="仿宋" w:hAnsi="仿宋" w:eastAsia="仿宋"/>
          <w:color w:val="000000"/>
          <w:kern w:val="2"/>
          <w:sz w:val="32"/>
          <w:szCs w:val="24"/>
          <w:highlight w:val="white"/>
          <w:lang w:val="en-US"/>
        </w:rPr>
        <w:t>开支的交通费、住宿费、用餐费等。</w:t>
      </w:r>
      <w:r>
        <w:rPr>
          <w:rFonts w:hint="eastAsia" w:ascii="仿宋" w:hAnsi="仿宋" w:eastAsia="仿宋"/>
          <w:color w:val="000000"/>
          <w:kern w:val="2"/>
          <w:sz w:val="32"/>
          <w:szCs w:val="24"/>
          <w:lang w:val="zh-CN"/>
        </w:rPr>
        <w:t>国内公务接待11批次，284人次，共计支出3.47万元，具体内容包括：</w:t>
      </w:r>
      <w:r>
        <w:rPr>
          <w:rFonts w:hint="eastAsia" w:ascii="仿宋" w:eastAsia="仿宋"/>
          <w:color w:val="000000"/>
          <w:sz w:val="32"/>
          <w:szCs w:val="32"/>
        </w:rPr>
        <w:t>接待上级主管部门检查调研</w:t>
      </w:r>
      <w:r>
        <w:rPr>
          <w:rFonts w:hint="eastAsia" w:ascii="仿宋" w:eastAsia="仿宋"/>
          <w:color w:val="000000"/>
          <w:sz w:val="32"/>
          <w:szCs w:val="32"/>
          <w:lang w:val="en-US" w:eastAsia="zh-CN"/>
        </w:rPr>
        <w:t>5</w:t>
      </w:r>
      <w:r>
        <w:rPr>
          <w:rFonts w:hint="eastAsia" w:ascii="仿宋" w:eastAsia="仿宋"/>
          <w:color w:val="000000"/>
          <w:sz w:val="32"/>
          <w:szCs w:val="32"/>
        </w:rPr>
        <w:t>批次，支出</w:t>
      </w:r>
      <w:r>
        <w:rPr>
          <w:rFonts w:hint="eastAsia" w:ascii="仿宋" w:eastAsia="仿宋"/>
          <w:color w:val="000000"/>
          <w:sz w:val="32"/>
          <w:szCs w:val="32"/>
          <w:lang w:val="en-US" w:eastAsia="zh-CN"/>
        </w:rPr>
        <w:t>0.99</w:t>
      </w:r>
      <w:r>
        <w:rPr>
          <w:rFonts w:hint="eastAsia" w:ascii="仿宋" w:eastAsia="仿宋"/>
          <w:color w:val="000000"/>
          <w:sz w:val="32"/>
          <w:szCs w:val="32"/>
        </w:rPr>
        <w:t>万元；接待外市同行业部门</w:t>
      </w:r>
      <w:r>
        <w:rPr>
          <w:rFonts w:hint="eastAsia" w:ascii="仿宋" w:hAnsi="仿宋" w:eastAsia="仿宋"/>
          <w:color w:val="000000"/>
          <w:kern w:val="2"/>
          <w:sz w:val="32"/>
          <w:szCs w:val="24"/>
          <w:highlight w:val="white"/>
          <w:lang w:val="en-US"/>
        </w:rPr>
        <w:t>开展业务活动</w:t>
      </w:r>
      <w:r>
        <w:rPr>
          <w:rFonts w:hint="eastAsia" w:ascii="仿宋" w:eastAsia="仿宋"/>
          <w:color w:val="000000"/>
          <w:sz w:val="32"/>
          <w:szCs w:val="32"/>
          <w:lang w:val="en-US" w:eastAsia="zh-CN"/>
        </w:rPr>
        <w:t>1</w:t>
      </w:r>
      <w:r>
        <w:rPr>
          <w:rFonts w:hint="eastAsia" w:ascii="仿宋" w:eastAsia="仿宋"/>
          <w:color w:val="000000"/>
          <w:sz w:val="32"/>
          <w:szCs w:val="32"/>
        </w:rPr>
        <w:t>批次，支出</w:t>
      </w:r>
      <w:r>
        <w:rPr>
          <w:rFonts w:hint="eastAsia" w:ascii="仿宋" w:eastAsia="仿宋"/>
          <w:color w:val="000000"/>
          <w:sz w:val="32"/>
          <w:szCs w:val="32"/>
          <w:lang w:val="en-US" w:eastAsia="zh-CN"/>
        </w:rPr>
        <w:t>0.14</w:t>
      </w:r>
      <w:r>
        <w:rPr>
          <w:rFonts w:hint="eastAsia" w:ascii="仿宋" w:eastAsia="仿宋"/>
          <w:color w:val="000000"/>
          <w:sz w:val="32"/>
          <w:szCs w:val="32"/>
        </w:rPr>
        <w:t>万元；接待</w:t>
      </w:r>
      <w:r>
        <w:rPr>
          <w:rFonts w:hint="eastAsia" w:ascii="仿宋" w:eastAsia="仿宋"/>
          <w:color w:val="000000"/>
          <w:sz w:val="32"/>
          <w:szCs w:val="32"/>
          <w:lang w:val="en-US" w:eastAsia="zh-CN"/>
        </w:rPr>
        <w:t>离退休干部活动1</w:t>
      </w:r>
      <w:r>
        <w:rPr>
          <w:rFonts w:hint="eastAsia" w:ascii="仿宋" w:eastAsia="仿宋"/>
          <w:color w:val="000000"/>
          <w:sz w:val="32"/>
          <w:szCs w:val="32"/>
        </w:rPr>
        <w:t>批次，支出</w:t>
      </w:r>
      <w:r>
        <w:rPr>
          <w:rFonts w:hint="eastAsia" w:ascii="仿宋" w:eastAsia="仿宋"/>
          <w:color w:val="000000"/>
          <w:sz w:val="32"/>
          <w:szCs w:val="32"/>
          <w:lang w:val="en-US" w:eastAsia="zh-CN"/>
        </w:rPr>
        <w:t>0.3</w:t>
      </w:r>
      <w:r>
        <w:rPr>
          <w:rFonts w:hint="eastAsia" w:ascii="仿宋" w:eastAsia="仿宋"/>
          <w:color w:val="000000"/>
          <w:sz w:val="32"/>
          <w:szCs w:val="32"/>
        </w:rPr>
        <w:t>万元；接待外市同行业</w:t>
      </w:r>
      <w:r>
        <w:rPr>
          <w:rFonts w:hint="eastAsia" w:ascii="仿宋" w:eastAsia="仿宋"/>
          <w:color w:val="000000"/>
          <w:sz w:val="32"/>
          <w:szCs w:val="32"/>
          <w:lang w:val="en-US" w:eastAsia="zh-CN"/>
        </w:rPr>
        <w:t>集团公司考察</w:t>
      </w:r>
      <w:r>
        <w:rPr>
          <w:rFonts w:hint="eastAsia" w:ascii="仿宋" w:eastAsia="仿宋"/>
          <w:color w:val="000000"/>
          <w:sz w:val="32"/>
          <w:szCs w:val="32"/>
        </w:rPr>
        <w:t>交流学习</w:t>
      </w:r>
      <w:r>
        <w:rPr>
          <w:rFonts w:hint="eastAsia" w:ascii="仿宋" w:eastAsia="仿宋"/>
          <w:color w:val="000000"/>
          <w:sz w:val="32"/>
          <w:szCs w:val="32"/>
          <w:lang w:val="en-US" w:eastAsia="zh-CN"/>
        </w:rPr>
        <w:t>3</w:t>
      </w:r>
      <w:r>
        <w:rPr>
          <w:rFonts w:hint="eastAsia" w:ascii="仿宋" w:eastAsia="仿宋"/>
          <w:color w:val="000000"/>
          <w:sz w:val="32"/>
          <w:szCs w:val="32"/>
        </w:rPr>
        <w:t>批次，支出</w:t>
      </w:r>
      <w:r>
        <w:rPr>
          <w:rFonts w:hint="eastAsia" w:ascii="仿宋" w:eastAsia="仿宋"/>
          <w:color w:val="000000"/>
          <w:sz w:val="32"/>
          <w:szCs w:val="32"/>
          <w:lang w:val="en-US" w:eastAsia="zh-CN"/>
        </w:rPr>
        <w:t>1.97</w:t>
      </w:r>
      <w:r>
        <w:rPr>
          <w:rFonts w:hint="eastAsia" w:ascii="仿宋" w:eastAsia="仿宋"/>
          <w:color w:val="000000"/>
          <w:sz w:val="32"/>
          <w:szCs w:val="32"/>
        </w:rPr>
        <w:t>万元；接待</w:t>
      </w:r>
      <w:r>
        <w:rPr>
          <w:rFonts w:hint="eastAsia" w:ascii="仿宋" w:eastAsia="仿宋"/>
          <w:color w:val="000000"/>
          <w:sz w:val="32"/>
          <w:szCs w:val="32"/>
          <w:lang w:val="en-US" w:eastAsia="zh-CN"/>
        </w:rPr>
        <w:t>专家组抽查复核建设项目1</w:t>
      </w:r>
      <w:r>
        <w:rPr>
          <w:rFonts w:hint="eastAsia" w:ascii="仿宋" w:eastAsia="仿宋"/>
          <w:color w:val="000000"/>
          <w:sz w:val="32"/>
          <w:szCs w:val="32"/>
        </w:rPr>
        <w:t>批次，支出</w:t>
      </w:r>
      <w:r>
        <w:rPr>
          <w:rFonts w:hint="eastAsia" w:ascii="仿宋" w:eastAsia="仿宋"/>
          <w:color w:val="000000"/>
          <w:sz w:val="32"/>
          <w:szCs w:val="32"/>
          <w:lang w:val="en-US" w:eastAsia="zh-CN"/>
        </w:rPr>
        <w:t>0.07</w:t>
      </w:r>
      <w:r>
        <w:rPr>
          <w:rFonts w:hint="eastAsia" w:ascii="仿宋" w:eastAsia="仿宋"/>
          <w:color w:val="000000"/>
          <w:sz w:val="32"/>
          <w:szCs w:val="32"/>
        </w:rPr>
        <w:t>万元</w:t>
      </w:r>
      <w:r>
        <w:rPr>
          <w:rFonts w:hint="eastAsia" w:ascii="仿宋" w:hAnsi="仿宋" w:eastAsia="仿宋"/>
          <w:color w:val="000000"/>
          <w:kern w:val="2"/>
          <w:sz w:val="32"/>
          <w:szCs w:val="24"/>
          <w:highlight w:val="white"/>
          <w:lang w:val="en-US"/>
        </w:rPr>
        <w:t>。</w:t>
      </w:r>
    </w:p>
    <w:p>
      <w:pPr>
        <w:keepNext/>
        <w:keepLines/>
        <w:spacing w:line="576" w:lineRule="exact"/>
        <w:ind w:firstLine="643"/>
        <w:jc w:val="both"/>
        <w:rPr>
          <w:rFonts w:ascii="黑体" w:eastAsia="黑体"/>
          <w:color w:val="auto"/>
          <w:sz w:val="32"/>
          <w:szCs w:val="32"/>
          <w:highlight w:val="none"/>
        </w:rPr>
      </w:pPr>
      <w:r>
        <w:rPr>
          <w:rFonts w:hint="eastAsia" w:ascii="仿宋" w:hAnsi="仿宋" w:eastAsia="仿宋"/>
          <w:b/>
          <w:color w:val="000000"/>
          <w:kern w:val="2"/>
          <w:sz w:val="32"/>
          <w:szCs w:val="24"/>
          <w:lang w:val="zh-CN"/>
        </w:rPr>
        <w:t>外事接待</w:t>
      </w:r>
      <w:r>
        <w:rPr>
          <w:rFonts w:hint="eastAsia" w:ascii="仿宋" w:hAnsi="仿宋" w:eastAsia="仿宋"/>
          <w:color w:val="000000"/>
          <w:kern w:val="2"/>
          <w:sz w:val="32"/>
          <w:szCs w:val="24"/>
          <w:lang w:val="zh-CN"/>
        </w:rPr>
        <w:t>支出0万元。</w:t>
      </w:r>
      <w:bookmarkStart w:id="54" w:name="_Toc15377218"/>
      <w:bookmarkStart w:id="55" w:name="_Toc15396610"/>
    </w:p>
    <w:p>
      <w:pPr>
        <w:spacing w:line="600" w:lineRule="exact"/>
        <w:ind w:firstLine="640"/>
        <w:outlineLvl w:val="1"/>
        <w:rPr>
          <w:rStyle w:val="25"/>
          <w:rFonts w:ascii="黑体" w:hAnsi="黑体" w:eastAsia="黑体"/>
          <w:color w:val="auto"/>
          <w:highlight w:val="none"/>
        </w:rPr>
      </w:pPr>
      <w:bookmarkStart w:id="56" w:name="_Toc25229"/>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54"/>
      <w:bookmarkEnd w:id="55"/>
      <w:bookmarkEnd w:id="56"/>
    </w:p>
    <w:p>
      <w:pPr>
        <w:spacing w:line="600" w:lineRule="exact"/>
        <w:ind w:firstLine="640"/>
        <w:rPr>
          <w:rFonts w:ascii="仿宋" w:eastAsia="仿宋"/>
          <w:color w:val="auto"/>
          <w:sz w:val="32"/>
          <w:szCs w:val="32"/>
          <w:highlight w:val="none"/>
        </w:rPr>
      </w:pPr>
      <w:r>
        <w:rPr>
          <w:rFonts w:ascii="仿宋" w:eastAsia="仿宋"/>
          <w:color w:val="auto"/>
          <w:sz w:val="32"/>
          <w:szCs w:val="32"/>
          <w:highlight w:val="none"/>
        </w:rPr>
        <w:t>20</w:t>
      </w:r>
      <w:r>
        <w:rPr>
          <w:rFonts w:hint="eastAsia" w:ascii="仿宋" w:eastAsia="仿宋"/>
          <w:color w:val="auto"/>
          <w:sz w:val="32"/>
          <w:szCs w:val="32"/>
          <w:highlight w:val="none"/>
          <w:lang w:val="en-US" w:eastAsia="zh-CN"/>
        </w:rPr>
        <w:t>22</w:t>
      </w:r>
      <w:r>
        <w:rPr>
          <w:rFonts w:hint="eastAsia" w:ascii="仿宋" w:eastAsia="仿宋"/>
          <w:color w:val="auto"/>
          <w:sz w:val="32"/>
          <w:szCs w:val="32"/>
          <w:highlight w:val="none"/>
        </w:rPr>
        <w:t>年政府性基金预算</w:t>
      </w:r>
      <w:r>
        <w:rPr>
          <w:rFonts w:hint="eastAsia" w:ascii="仿宋" w:eastAsia="仿宋"/>
          <w:color w:val="auto"/>
          <w:sz w:val="32"/>
          <w:szCs w:val="32"/>
          <w:highlight w:val="none"/>
          <w:lang w:eastAsia="zh-CN"/>
        </w:rPr>
        <w:t>财政</w:t>
      </w:r>
      <w:r>
        <w:rPr>
          <w:rFonts w:hint="eastAsia" w:ascii="仿宋" w:eastAsia="仿宋"/>
          <w:color w:val="auto"/>
          <w:sz w:val="32"/>
          <w:szCs w:val="32"/>
          <w:highlight w:val="none"/>
        </w:rPr>
        <w:t>拨款支出</w:t>
      </w:r>
      <w:r>
        <w:rPr>
          <w:rFonts w:hint="eastAsia" w:ascii="仿宋" w:eastAsia="仿宋"/>
          <w:color w:val="auto"/>
          <w:sz w:val="32"/>
          <w:szCs w:val="32"/>
          <w:highlight w:val="none"/>
          <w:lang w:val="en-US" w:eastAsia="zh-CN"/>
        </w:rPr>
        <w:t>0</w:t>
      </w:r>
      <w:r>
        <w:rPr>
          <w:rFonts w:hint="eastAsia" w:ascii="仿宋" w:eastAsia="仿宋"/>
          <w:color w:val="auto"/>
          <w:sz w:val="32"/>
          <w:szCs w:val="32"/>
          <w:highlight w:val="none"/>
        </w:rPr>
        <w:t>万元。</w:t>
      </w:r>
    </w:p>
    <w:p>
      <w:pPr>
        <w:numPr>
          <w:ilvl w:val="0"/>
          <w:numId w:val="1"/>
        </w:numPr>
        <w:spacing w:line="600" w:lineRule="exact"/>
        <w:ind w:firstLine="640"/>
        <w:outlineLvl w:val="1"/>
        <w:rPr>
          <w:rStyle w:val="25"/>
          <w:rFonts w:ascii="黑体" w:hAnsi="黑体" w:eastAsia="黑体"/>
          <w:b w:val="0"/>
          <w:color w:val="auto"/>
          <w:highlight w:val="none"/>
        </w:rPr>
      </w:pPr>
      <w:bookmarkStart w:id="57" w:name="_Toc15396611"/>
      <w:bookmarkStart w:id="58" w:name="_Toc15723"/>
      <w:bookmarkStart w:id="59" w:name="_Toc15377219"/>
      <w:r>
        <w:rPr>
          <w:rStyle w:val="25"/>
          <w:rFonts w:hint="eastAsia" w:ascii="黑体" w:hAnsi="黑体" w:eastAsia="黑体"/>
          <w:b w:val="0"/>
          <w:color w:val="auto"/>
          <w:highlight w:val="none"/>
        </w:rPr>
        <w:t>国有资本经营预算支出决算情况说明</w:t>
      </w:r>
      <w:bookmarkEnd w:id="57"/>
      <w:bookmarkEnd w:id="58"/>
      <w:bookmarkEnd w:id="59"/>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 w:eastAsia="仿宋"/>
          <w:color w:val="auto"/>
          <w:sz w:val="32"/>
          <w:szCs w:val="32"/>
          <w:highlight w:val="none"/>
        </w:rPr>
        <w:t>20</w:t>
      </w:r>
      <w:r>
        <w:rPr>
          <w:rFonts w:hint="eastAsia" w:ascii="仿宋" w:eastAsia="仿宋"/>
          <w:color w:val="auto"/>
          <w:sz w:val="32"/>
          <w:szCs w:val="32"/>
          <w:highlight w:val="none"/>
          <w:lang w:val="en-US" w:eastAsia="zh-CN"/>
        </w:rPr>
        <w:t>22</w:t>
      </w:r>
      <w:r>
        <w:rPr>
          <w:rFonts w:hint="eastAsia" w:ascii="仿宋" w:eastAsia="仿宋"/>
          <w:color w:val="auto"/>
          <w:sz w:val="32"/>
          <w:szCs w:val="32"/>
          <w:highlight w:val="none"/>
        </w:rPr>
        <w:t>年国有资本经营预算</w:t>
      </w:r>
      <w:r>
        <w:rPr>
          <w:rFonts w:hint="eastAsia" w:ascii="仿宋" w:eastAsia="仿宋"/>
          <w:color w:val="auto"/>
          <w:sz w:val="32"/>
          <w:szCs w:val="32"/>
          <w:highlight w:val="none"/>
          <w:lang w:eastAsia="zh-CN"/>
        </w:rPr>
        <w:t>财政</w:t>
      </w:r>
      <w:r>
        <w:rPr>
          <w:rFonts w:hint="eastAsia" w:ascii="仿宋" w:eastAsia="仿宋"/>
          <w:color w:val="auto"/>
          <w:sz w:val="32"/>
          <w:szCs w:val="32"/>
          <w:highlight w:val="none"/>
        </w:rPr>
        <w:t>拨款支出</w:t>
      </w:r>
      <w:r>
        <w:rPr>
          <w:rFonts w:hint="eastAsia" w:ascii="仿宋" w:eastAsia="仿宋"/>
          <w:color w:val="auto"/>
          <w:sz w:val="32"/>
          <w:szCs w:val="32"/>
          <w:highlight w:val="none"/>
          <w:lang w:val="en-US" w:eastAsia="zh-CN"/>
        </w:rPr>
        <w:t>0</w:t>
      </w:r>
      <w:r>
        <w:rPr>
          <w:rFonts w:hint="eastAsia" w:ascii="仿宋" w:eastAsia="仿宋"/>
          <w:color w:val="auto"/>
          <w:sz w:val="32"/>
          <w:szCs w:val="32"/>
          <w:highlight w:val="none"/>
        </w:rPr>
        <w:t>万元。</w:t>
      </w:r>
    </w:p>
    <w:p>
      <w:pPr>
        <w:numPr>
          <w:ilvl w:val="0"/>
          <w:numId w:val="1"/>
        </w:numPr>
        <w:spacing w:line="600" w:lineRule="exact"/>
        <w:ind w:firstLine="640"/>
        <w:outlineLvl w:val="1"/>
        <w:rPr>
          <w:rStyle w:val="25"/>
          <w:rFonts w:hint="eastAsia" w:ascii="黑体" w:hAnsi="黑体" w:eastAsia="黑体"/>
          <w:b w:val="0"/>
          <w:color w:val="auto"/>
          <w:highlight w:val="none"/>
        </w:rPr>
      </w:pPr>
      <w:bookmarkStart w:id="60" w:name="_Toc15396612"/>
      <w:bookmarkStart w:id="61" w:name="_Toc8481"/>
      <w:bookmarkStart w:id="62" w:name="_Toc15377221"/>
      <w:r>
        <w:rPr>
          <w:rStyle w:val="25"/>
          <w:rFonts w:hint="eastAsia" w:ascii="黑体" w:hAnsi="黑体" w:eastAsia="黑体"/>
          <w:b w:val="0"/>
          <w:color w:val="auto"/>
          <w:highlight w:val="none"/>
        </w:rPr>
        <w:t>其他重要事项的情况说明</w:t>
      </w:r>
      <w:bookmarkEnd w:id="60"/>
      <w:bookmarkEnd w:id="61"/>
      <w:bookmarkEnd w:id="62"/>
    </w:p>
    <w:p>
      <w:pPr>
        <w:spacing w:line="600" w:lineRule="exact"/>
        <w:ind w:firstLine="643" w:firstLineChars="200"/>
        <w:outlineLvl w:val="2"/>
        <w:rPr>
          <w:rFonts w:ascii="仿宋" w:hAnsi="仿宋" w:eastAsia="仿宋"/>
          <w:color w:val="auto"/>
          <w:sz w:val="32"/>
          <w:szCs w:val="32"/>
          <w:highlight w:val="none"/>
        </w:rPr>
      </w:pPr>
      <w:bookmarkStart w:id="63" w:name="_Toc15377222"/>
      <w:bookmarkStart w:id="64" w:name="_Toc7422"/>
      <w:r>
        <w:rPr>
          <w:rFonts w:hint="eastAsia" w:ascii="仿宋" w:hAnsi="仿宋" w:eastAsia="仿宋"/>
          <w:b/>
          <w:color w:val="auto"/>
          <w:sz w:val="32"/>
          <w:szCs w:val="32"/>
          <w:highlight w:val="none"/>
        </w:rPr>
        <w:t>（一）机关运行经费支出情况</w:t>
      </w:r>
      <w:bookmarkEnd w:id="63"/>
      <w:bookmarkEnd w:id="64"/>
    </w:p>
    <w:p>
      <w:pPr>
        <w:spacing w:line="600" w:lineRule="exact"/>
        <w:ind w:firstLine="640" w:firstLineChars="200"/>
        <w:rPr>
          <w:rFonts w:hint="default" w:ascii="仿宋" w:eastAsia="仿宋"/>
          <w:color w:val="auto"/>
          <w:sz w:val="32"/>
          <w:szCs w:val="32"/>
          <w:highlight w:val="none"/>
          <w:lang w:val="en-US" w:eastAsia="zh-CN"/>
        </w:rPr>
      </w:pPr>
      <w:r>
        <w:rPr>
          <w:rFonts w:hint="eastAsia" w:ascii="仿宋" w:hAnsi="仿宋" w:eastAsia="仿宋"/>
          <w:color w:val="000000"/>
          <w:kern w:val="2"/>
          <w:sz w:val="32"/>
          <w:szCs w:val="24"/>
          <w:lang w:val="zh-CN"/>
        </w:rPr>
        <w:t>2022年，广元市文化广播电视和旅游局(本级)机关运行经</w:t>
      </w:r>
      <w:r>
        <w:rPr>
          <w:rFonts w:hint="eastAsia" w:ascii="仿宋" w:hAnsi="仿宋" w:eastAsia="仿宋"/>
          <w:color w:val="auto"/>
          <w:kern w:val="2"/>
          <w:sz w:val="32"/>
          <w:szCs w:val="24"/>
          <w:lang w:val="zh-CN"/>
        </w:rPr>
        <w:t>费支出161.49万元，比2021年减少63.87万元，下降28.3%。主要原因是</w:t>
      </w:r>
      <w:r>
        <w:rPr>
          <w:rFonts w:hint="eastAsia" w:ascii="仿宋" w:eastAsia="仿宋"/>
          <w:color w:val="auto"/>
          <w:sz w:val="32"/>
          <w:szCs w:val="32"/>
          <w:lang w:val="en-US" w:eastAsia="zh-CN"/>
        </w:rPr>
        <w:t>2022</w:t>
      </w:r>
      <w:r>
        <w:rPr>
          <w:rFonts w:hint="eastAsia" w:ascii="仿宋" w:eastAsia="仿宋"/>
          <w:color w:val="auto"/>
          <w:sz w:val="32"/>
          <w:szCs w:val="32"/>
        </w:rPr>
        <w:t>年度</w:t>
      </w:r>
      <w:r>
        <w:rPr>
          <w:rFonts w:hint="eastAsia" w:ascii="仿宋" w:eastAsia="仿宋"/>
          <w:color w:val="auto"/>
          <w:sz w:val="32"/>
          <w:szCs w:val="32"/>
          <w:lang w:val="en-US" w:eastAsia="zh-CN"/>
        </w:rPr>
        <w:t>实际交付</w:t>
      </w:r>
      <w:r>
        <w:rPr>
          <w:rFonts w:hint="eastAsia" w:ascii="仿宋" w:eastAsia="仿宋"/>
          <w:color w:val="auto"/>
          <w:sz w:val="32"/>
          <w:szCs w:val="32"/>
        </w:rPr>
        <w:t>物业管理费</w:t>
      </w:r>
      <w:r>
        <w:rPr>
          <w:rFonts w:hint="eastAsia" w:ascii="仿宋" w:eastAsia="仿宋"/>
          <w:color w:val="auto"/>
          <w:sz w:val="32"/>
          <w:szCs w:val="32"/>
          <w:lang w:val="en-US" w:eastAsia="zh-CN"/>
        </w:rPr>
        <w:t>较2021年度减少</w:t>
      </w:r>
      <w:r>
        <w:rPr>
          <w:rFonts w:hint="eastAsia" w:ascii="仿宋" w:eastAsia="仿宋"/>
          <w:color w:val="auto"/>
          <w:sz w:val="32"/>
          <w:szCs w:val="32"/>
          <w:lang w:eastAsia="zh-CN"/>
        </w:rPr>
        <w:t>；</w:t>
      </w:r>
      <w:r>
        <w:rPr>
          <w:rFonts w:hint="eastAsia" w:ascii="仿宋" w:eastAsia="仿宋"/>
          <w:color w:val="auto"/>
          <w:sz w:val="32"/>
          <w:szCs w:val="32"/>
          <w:lang w:val="en-US" w:eastAsia="zh-CN"/>
        </w:rPr>
        <w:t>相关机关运行经费减少，多为项目费用支出。</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65" w:name="_Toc15377223"/>
      <w:bookmarkStart w:id="66" w:name="_Toc26778"/>
      <w:r>
        <w:rPr>
          <w:rFonts w:hint="eastAsia" w:ascii="仿宋" w:hAnsi="仿宋" w:eastAsia="仿宋"/>
          <w:b/>
          <w:color w:val="auto"/>
          <w:sz w:val="32"/>
          <w:szCs w:val="32"/>
          <w:highlight w:val="none"/>
        </w:rPr>
        <w:t>（二）政府采购支出情况</w:t>
      </w:r>
      <w:bookmarkEnd w:id="65"/>
      <w:bookmarkEnd w:id="66"/>
    </w:p>
    <w:p>
      <w:pPr>
        <w:spacing w:line="576" w:lineRule="exact"/>
        <w:ind w:firstLine="640"/>
        <w:jc w:val="both"/>
        <w:rPr>
          <w:rFonts w:hint="eastAsia" w:ascii="仿宋" w:hAnsi="仿宋" w:eastAsia="仿宋"/>
          <w:color w:val="000000"/>
          <w:kern w:val="2"/>
          <w:sz w:val="32"/>
          <w:szCs w:val="24"/>
          <w:lang w:val="zh-CN"/>
        </w:rPr>
      </w:pPr>
      <w:r>
        <w:rPr>
          <w:rFonts w:hint="eastAsia" w:ascii="仿宋" w:hAnsi="仿宋" w:eastAsia="仿宋"/>
          <w:color w:val="000000"/>
          <w:kern w:val="2"/>
          <w:sz w:val="32"/>
          <w:szCs w:val="24"/>
          <w:lang w:val="zh-CN"/>
        </w:rPr>
        <w:t>2022年，广元市文化广播电视和旅游局(本级)政府采购支出总额57.7万元，其中：政府采购货物支出0万元、政府采购工程支出0万元、政府采购服务支出</w:t>
      </w:r>
      <w:r>
        <w:rPr>
          <w:rFonts w:hint="eastAsia" w:ascii="仿宋" w:hAnsi="仿宋" w:eastAsia="仿宋"/>
          <w:color w:val="auto"/>
          <w:kern w:val="2"/>
          <w:sz w:val="32"/>
          <w:szCs w:val="24"/>
          <w:lang w:val="zh-CN"/>
        </w:rPr>
        <w:t>57.7万元。主要用于</w:t>
      </w:r>
      <w:r>
        <w:rPr>
          <w:rFonts w:hint="eastAsia" w:ascii="仿宋" w:hAnsi="仿宋" w:eastAsia="仿宋"/>
          <w:color w:val="auto"/>
          <w:kern w:val="2"/>
          <w:sz w:val="32"/>
          <w:szCs w:val="24"/>
          <w:lang w:val="en-US" w:eastAsia="zh-CN"/>
        </w:rPr>
        <w:t>政府向社会力量购买公共文化服务示范项目：</w:t>
      </w:r>
      <w:r>
        <w:rPr>
          <w:rStyle w:val="14"/>
          <w:rFonts w:hint="eastAsia" w:ascii="仿宋" w:hAnsi="仿宋" w:eastAsia="仿宋"/>
          <w:b w:val="0"/>
          <w:bCs/>
          <w:color w:val="auto"/>
          <w:sz w:val="32"/>
          <w:szCs w:val="32"/>
          <w:lang w:eastAsia="zh-CN"/>
        </w:rPr>
        <w:t>《</w:t>
      </w:r>
      <w:r>
        <w:rPr>
          <w:rStyle w:val="14"/>
          <w:rFonts w:hint="eastAsia" w:ascii="仿宋" w:hAnsi="仿宋" w:eastAsia="仿宋"/>
          <w:b w:val="0"/>
          <w:bCs/>
          <w:color w:val="auto"/>
          <w:sz w:val="32"/>
          <w:szCs w:val="32"/>
          <w:lang w:val="en-US" w:eastAsia="zh-CN"/>
        </w:rPr>
        <w:t>中华传统经典诵读公益服务</w:t>
      </w:r>
      <w:r>
        <w:rPr>
          <w:rStyle w:val="14"/>
          <w:rFonts w:hint="eastAsia" w:ascii="仿宋" w:hAnsi="仿宋" w:eastAsia="仿宋"/>
          <w:b w:val="0"/>
          <w:bCs/>
          <w:color w:val="auto"/>
          <w:sz w:val="32"/>
          <w:szCs w:val="32"/>
          <w:lang w:eastAsia="zh-CN"/>
        </w:rPr>
        <w:t>》、《“</w:t>
      </w:r>
      <w:r>
        <w:rPr>
          <w:rStyle w:val="14"/>
          <w:rFonts w:hint="eastAsia" w:ascii="仿宋" w:hAnsi="仿宋" w:eastAsia="仿宋"/>
          <w:b w:val="0"/>
          <w:bCs/>
          <w:color w:val="auto"/>
          <w:sz w:val="32"/>
          <w:szCs w:val="32"/>
          <w:lang w:val="en-US" w:eastAsia="zh-CN"/>
        </w:rPr>
        <w:t>有爱·无碍”公益服务</w:t>
      </w:r>
      <w:r>
        <w:rPr>
          <w:rStyle w:val="14"/>
          <w:rFonts w:hint="eastAsia" w:ascii="仿宋" w:hAnsi="仿宋" w:eastAsia="仿宋"/>
          <w:b w:val="0"/>
          <w:bCs/>
          <w:color w:val="auto"/>
          <w:sz w:val="32"/>
          <w:szCs w:val="32"/>
          <w:lang w:eastAsia="zh-CN"/>
        </w:rPr>
        <w:t>》</w:t>
      </w:r>
      <w:r>
        <w:rPr>
          <w:rStyle w:val="14"/>
          <w:rFonts w:hint="eastAsia" w:ascii="仿宋" w:hAnsi="仿宋" w:eastAsia="仿宋"/>
          <w:b w:val="0"/>
          <w:bCs/>
          <w:color w:val="auto"/>
          <w:sz w:val="32"/>
          <w:szCs w:val="32"/>
          <w:lang w:val="en-US" w:eastAsia="zh-CN"/>
        </w:rPr>
        <w:t>项目</w:t>
      </w:r>
      <w:r>
        <w:rPr>
          <w:rFonts w:hint="eastAsia" w:ascii="仿宋" w:hAnsi="仿宋" w:eastAsia="仿宋"/>
          <w:color w:val="auto"/>
          <w:kern w:val="2"/>
          <w:sz w:val="32"/>
          <w:szCs w:val="24"/>
          <w:highlight w:val="white"/>
          <w:lang w:val="zh-CN"/>
        </w:rPr>
        <w:t>。</w:t>
      </w:r>
      <w:r>
        <w:rPr>
          <w:rFonts w:hint="eastAsia" w:ascii="仿宋" w:hAnsi="仿宋" w:eastAsia="仿宋"/>
          <w:color w:val="000000"/>
          <w:kern w:val="2"/>
          <w:sz w:val="32"/>
          <w:szCs w:val="24"/>
          <w:lang w:val="zh-CN"/>
        </w:rPr>
        <w:t>授予中小企业合同金额57.7万元，占政府采购支出总额的100%，其中：授予小微企业合同金额57.7万元，</w:t>
      </w:r>
      <w:r>
        <w:rPr>
          <w:rFonts w:hint="eastAsia" w:ascii="仿宋" w:hAnsi="仿宋" w:eastAsia="仿宋"/>
          <w:color w:val="auto"/>
          <w:kern w:val="2"/>
          <w:sz w:val="32"/>
          <w:szCs w:val="24"/>
          <w:lang w:val="en-US"/>
        </w:rPr>
        <w:t>占政府采购支出总额的</w:t>
      </w:r>
      <w:r>
        <w:rPr>
          <w:rFonts w:hint="eastAsia" w:ascii="仿宋" w:hAnsi="仿宋" w:eastAsia="仿宋"/>
          <w:color w:val="000000"/>
          <w:kern w:val="2"/>
          <w:sz w:val="32"/>
          <w:szCs w:val="24"/>
          <w:lang w:val="zh-CN"/>
        </w:rPr>
        <w:t>100%。</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67" w:name="_Toc15377224"/>
      <w:bookmarkStart w:id="68" w:name="_Toc27551"/>
      <w:r>
        <w:rPr>
          <w:rFonts w:hint="eastAsia" w:ascii="仿宋" w:hAnsi="仿宋" w:eastAsia="仿宋"/>
          <w:b/>
          <w:color w:val="auto"/>
          <w:sz w:val="32"/>
          <w:szCs w:val="32"/>
          <w:highlight w:val="none"/>
        </w:rPr>
        <w:t>（三）国有资产占有使用情况</w:t>
      </w:r>
      <w:bookmarkEnd w:id="67"/>
      <w:bookmarkEnd w:id="68"/>
    </w:p>
    <w:p>
      <w:pPr>
        <w:spacing w:line="576" w:lineRule="exact"/>
        <w:ind w:firstLine="640"/>
        <w:rPr>
          <w:rFonts w:hint="eastAsia" w:ascii="仿宋" w:hAnsi="仿宋" w:eastAsia="仿宋"/>
          <w:color w:val="000000"/>
          <w:kern w:val="2"/>
          <w:sz w:val="32"/>
          <w:szCs w:val="24"/>
          <w:lang w:val="zh-CN"/>
        </w:rPr>
      </w:pPr>
      <w:r>
        <w:rPr>
          <w:rFonts w:hint="eastAsia" w:ascii="仿宋" w:hAnsi="仿宋" w:eastAsia="仿宋"/>
          <w:color w:val="000000"/>
          <w:kern w:val="2"/>
          <w:sz w:val="32"/>
          <w:szCs w:val="24"/>
          <w:lang w:val="zh-CN"/>
        </w:rPr>
        <w:t>截至2022年12月31日，广元市文化广播电视和旅游局(本级)共有车辆5辆，其中：副部（省）级及以上领导用车0辆、主要领导干部用车0辆、机要通信用车0辆、应急保障用车0辆、执法执勤用车0辆、特种专业技术用车0辆、离退休干部用车0辆、其他用车5辆。其中：其他用车主要是用于</w:t>
      </w:r>
      <w:r>
        <w:rPr>
          <w:rFonts w:hint="eastAsia" w:ascii="仿宋" w:eastAsia="仿宋"/>
          <w:sz w:val="32"/>
          <w:szCs w:val="32"/>
        </w:rPr>
        <w:t>公共文化服务体系建设、艺术创作、非物质文化遗产保护利用、旅游行业管理、景区创建及质量评定、文旅资源普查、文化旅游宣传推介、广播电视网络视听行业监管、广播电视信号传输保障、文物保护利用、考古发掘、航空事业发展、脱贫攻坚</w:t>
      </w:r>
      <w:r>
        <w:rPr>
          <w:rFonts w:hint="eastAsia" w:ascii="仿宋" w:eastAsia="仿宋"/>
          <w:color w:val="000000"/>
          <w:sz w:val="32"/>
          <w:szCs w:val="32"/>
        </w:rPr>
        <w:t>等工作</w:t>
      </w:r>
      <w:r>
        <w:rPr>
          <w:rFonts w:hint="eastAsia" w:ascii="仿宋" w:hAnsi="仿宋" w:eastAsia="仿宋"/>
          <w:color w:val="000000"/>
          <w:kern w:val="2"/>
          <w:sz w:val="32"/>
          <w:szCs w:val="24"/>
          <w:lang w:val="zh-CN"/>
        </w:rPr>
        <w:t>。单价100万元（含）以上设备0台（套)。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bookmarkStart w:id="69" w:name="_Toc1717"/>
      <w:r>
        <w:rPr>
          <w:rFonts w:hint="eastAsia" w:ascii="仿宋" w:hAnsi="仿宋" w:eastAsia="仿宋"/>
          <w:b/>
          <w:color w:val="auto"/>
          <w:sz w:val="32"/>
          <w:szCs w:val="32"/>
          <w:highlight w:val="none"/>
        </w:rPr>
        <w:t>（四）预算绩效管理情况</w:t>
      </w:r>
      <w:bookmarkEnd w:id="69"/>
    </w:p>
    <w:p>
      <w:pPr>
        <w:pStyle w:val="6"/>
        <w:ind w:firstLine="640" w:firstLineChars="200"/>
        <w:rPr>
          <w:color w:val="auto"/>
          <w:highlight w:val="yellow"/>
        </w:rPr>
      </w:pPr>
      <w:r>
        <w:rPr>
          <w:rFonts w:hint="eastAsia" w:ascii="仿宋" w:hAnsi="仿宋" w:eastAsia="仿宋" w:cs="仿宋"/>
          <w:color w:val="auto"/>
          <w:sz w:val="32"/>
          <w:szCs w:val="32"/>
          <w:highlight w:val="none"/>
        </w:rPr>
        <w:t>根据预算绩效管理要求，本单位在202</w:t>
      </w:r>
      <w:r>
        <w:rPr>
          <w:rFonts w:hint="eastAsia" w:hAnsi="仿宋" w:cs="仿宋"/>
          <w:color w:val="auto"/>
          <w:sz w:val="32"/>
          <w:szCs w:val="32"/>
          <w:highlight w:val="none"/>
          <w:lang w:val="en-US" w:eastAsia="zh-CN"/>
        </w:rPr>
        <w:t>2</w:t>
      </w:r>
      <w:r>
        <w:rPr>
          <w:rFonts w:hint="eastAsia" w:ascii="仿宋" w:hAnsi="仿宋" w:eastAsia="仿宋" w:cs="仿宋"/>
          <w:color w:val="auto"/>
          <w:sz w:val="32"/>
          <w:szCs w:val="32"/>
          <w:highlight w:val="none"/>
        </w:rPr>
        <w:t>年度预算编制阶段，组织对文物保护经费</w:t>
      </w:r>
      <w:r>
        <w:rPr>
          <w:rFonts w:hint="eastAsia" w:hAnsi="仿宋" w:cs="仿宋"/>
          <w:color w:val="auto"/>
          <w:sz w:val="32"/>
          <w:szCs w:val="32"/>
          <w:highlight w:val="none"/>
          <w:lang w:eastAsia="zh-CN"/>
        </w:rPr>
        <w:t>、市文旅局村振兴工作经费、向上争取项目资金工作经费、文化旅游产业发展工作经费、文化旅游行业管理工作经费、公共文化服务体系建设工作经费、文化旅游宣传推广工作经费</w:t>
      </w:r>
      <w:r>
        <w:rPr>
          <w:rFonts w:hint="eastAsia" w:ascii="仿宋" w:hAnsi="仿宋" w:eastAsia="仿宋" w:cs="仿宋"/>
          <w:color w:val="auto"/>
          <w:sz w:val="32"/>
          <w:szCs w:val="32"/>
          <w:highlight w:val="none"/>
        </w:rPr>
        <w:t>项目等</w:t>
      </w:r>
      <w:r>
        <w:rPr>
          <w:rFonts w:hint="eastAsia" w:hAnsi="仿宋" w:cs="仿宋"/>
          <w:color w:val="auto"/>
          <w:sz w:val="32"/>
          <w:szCs w:val="32"/>
          <w:highlight w:val="none"/>
          <w:lang w:val="en-US" w:eastAsia="zh-CN"/>
        </w:rPr>
        <w:t>44</w:t>
      </w:r>
      <w:r>
        <w:rPr>
          <w:rFonts w:hint="eastAsia" w:ascii="仿宋" w:hAnsi="仿宋" w:eastAsia="仿宋" w:cs="仿宋"/>
          <w:color w:val="auto"/>
          <w:sz w:val="32"/>
          <w:szCs w:val="32"/>
          <w:highlight w:val="none"/>
        </w:rPr>
        <w:t>个项目开展了预算事前绩效评估，对</w:t>
      </w:r>
      <w:r>
        <w:rPr>
          <w:rFonts w:hint="eastAsia" w:hAnsi="仿宋" w:cs="仿宋"/>
          <w:color w:val="auto"/>
          <w:sz w:val="32"/>
          <w:szCs w:val="32"/>
          <w:highlight w:val="none"/>
          <w:lang w:val="en-US" w:eastAsia="zh-CN"/>
        </w:rPr>
        <w:t>44</w:t>
      </w:r>
      <w:r>
        <w:rPr>
          <w:rFonts w:hint="eastAsia" w:ascii="仿宋" w:hAnsi="仿宋" w:eastAsia="仿宋" w:cs="仿宋"/>
          <w:color w:val="auto"/>
          <w:sz w:val="32"/>
          <w:szCs w:val="32"/>
          <w:highlight w:val="none"/>
        </w:rPr>
        <w:t>个项目编制了绩效目标，预算执行过程中，选取</w:t>
      </w:r>
      <w:r>
        <w:rPr>
          <w:rFonts w:hint="eastAsia" w:hAnsi="仿宋" w:cs="仿宋"/>
          <w:color w:val="auto"/>
          <w:sz w:val="32"/>
          <w:szCs w:val="32"/>
          <w:highlight w:val="none"/>
          <w:lang w:val="en-US" w:eastAsia="zh-CN"/>
        </w:rPr>
        <w:t>44</w:t>
      </w:r>
      <w:r>
        <w:rPr>
          <w:rFonts w:hint="eastAsia" w:ascii="仿宋" w:hAnsi="仿宋" w:eastAsia="仿宋" w:cs="仿宋"/>
          <w:color w:val="auto"/>
          <w:sz w:val="32"/>
          <w:szCs w:val="32"/>
          <w:highlight w:val="none"/>
        </w:rPr>
        <w:t>个项目开展绩效监控，组织对</w:t>
      </w:r>
      <w:r>
        <w:rPr>
          <w:rFonts w:hint="eastAsia" w:hAnsi="仿宋" w:cs="仿宋"/>
          <w:color w:val="auto"/>
          <w:sz w:val="32"/>
          <w:szCs w:val="32"/>
          <w:highlight w:val="none"/>
          <w:lang w:val="en-US" w:eastAsia="zh-CN"/>
        </w:rPr>
        <w:t>44</w:t>
      </w:r>
      <w:r>
        <w:rPr>
          <w:rFonts w:hint="eastAsia" w:ascii="仿宋" w:hAnsi="仿宋" w:eastAsia="仿宋" w:cs="仿宋"/>
          <w:color w:val="auto"/>
          <w:sz w:val="32"/>
          <w:szCs w:val="32"/>
          <w:highlight w:val="none"/>
        </w:rPr>
        <w:t>个项目开展绩效自评，绩效自评表详见</w:t>
      </w:r>
      <w:r>
        <w:rPr>
          <w:rFonts w:hint="eastAsia" w:hAnsi="仿宋" w:cs="仿宋"/>
          <w:color w:val="auto"/>
          <w:sz w:val="32"/>
          <w:szCs w:val="32"/>
          <w:highlight w:val="none"/>
          <w:lang w:eastAsia="zh-CN"/>
        </w:rPr>
        <w:t>第四部分</w:t>
      </w:r>
      <w:r>
        <w:rPr>
          <w:rFonts w:hint="eastAsia" w:ascii="仿宋" w:hAnsi="仿宋" w:eastAsia="仿宋" w:cs="仿宋"/>
          <w:color w:val="auto"/>
          <w:sz w:val="32"/>
          <w:szCs w:val="32"/>
          <w:highlight w:val="none"/>
        </w:rPr>
        <w:t>附件。</w:t>
      </w:r>
    </w:p>
    <w:p>
      <w:pPr>
        <w:widowControl/>
        <w:jc w:val="left"/>
        <w:rPr>
          <w:rFonts w:ascii="仿宋" w:eastAsia="仿宋"/>
          <w:b/>
          <w:color w:val="auto"/>
          <w:sz w:val="32"/>
          <w:szCs w:val="32"/>
          <w:highlight w:val="none"/>
        </w:rPr>
      </w:pPr>
      <w:r>
        <w:rPr>
          <w:rFonts w:ascii="仿宋" w:eastAsia="仿宋"/>
          <w:b/>
          <w:color w:val="auto"/>
          <w:sz w:val="32"/>
          <w:szCs w:val="32"/>
          <w:highlight w:val="none"/>
        </w:rPr>
        <w:br w:type="page"/>
      </w:r>
    </w:p>
    <w:p>
      <w:pPr>
        <w:numPr>
          <w:ilvl w:val="0"/>
          <w:numId w:val="2"/>
        </w:numPr>
        <w:spacing w:line="600" w:lineRule="exact"/>
        <w:ind w:firstLine="660" w:firstLineChars="150"/>
        <w:jc w:val="center"/>
        <w:outlineLvl w:val="0"/>
        <w:rPr>
          <w:rStyle w:val="24"/>
          <w:rFonts w:ascii="黑体" w:hAnsi="黑体" w:eastAsia="黑体"/>
          <w:b w:val="0"/>
          <w:color w:val="auto"/>
          <w:highlight w:val="none"/>
        </w:rPr>
      </w:pPr>
      <w:bookmarkStart w:id="70" w:name="_Toc15396613"/>
      <w:bookmarkStart w:id="71" w:name="_Toc2042"/>
      <w:bookmarkStart w:id="72" w:name="_Toc15377225"/>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70"/>
      <w:bookmarkEnd w:id="71"/>
      <w:bookmarkEnd w:id="72"/>
    </w:p>
    <w:p>
      <w:pPr>
        <w:spacing w:line="600" w:lineRule="exact"/>
        <w:jc w:val="left"/>
        <w:rPr>
          <w:rFonts w:ascii="宋体"/>
          <w:b/>
          <w:color w:val="auto"/>
          <w:sz w:val="44"/>
          <w:szCs w:val="44"/>
          <w:highlight w:val="none"/>
        </w:rPr>
      </w:pPr>
    </w:p>
    <w:p>
      <w:pPr>
        <w:ind w:firstLine="640" w:firstLineChars="200"/>
        <w:rPr>
          <w:rFonts w:ascii="仿宋" w:eastAsia="仿宋" w:cs="仿宋"/>
          <w:sz w:val="32"/>
          <w:szCs w:val="32"/>
        </w:rPr>
      </w:pPr>
      <w:r>
        <w:rPr>
          <w:rFonts w:ascii="仿宋" w:eastAsia="仿宋"/>
          <w:color w:val="auto"/>
          <w:sz w:val="32"/>
          <w:szCs w:val="32"/>
          <w:highlight w:val="none"/>
        </w:rPr>
        <w:t>1.</w:t>
      </w:r>
      <w:r>
        <w:rPr>
          <w:rFonts w:hint="eastAsia" w:ascii="仿宋" w:eastAsia="仿宋"/>
          <w:color w:val="auto"/>
          <w:sz w:val="32"/>
          <w:szCs w:val="32"/>
          <w:highlight w:val="none"/>
        </w:rPr>
        <w:t>财政拨款收入：</w:t>
      </w:r>
      <w:r>
        <w:rPr>
          <w:rFonts w:hint="eastAsia" w:ascii="仿宋" w:eastAsia="仿宋" w:cs="仿宋"/>
          <w:sz w:val="32"/>
          <w:szCs w:val="32"/>
        </w:rPr>
        <w:t>指单位从同级财政部门取得的财政预算资金。</w:t>
      </w:r>
    </w:p>
    <w:p>
      <w:pPr>
        <w:ind w:firstLine="640" w:firstLineChars="200"/>
      </w:pPr>
      <w:r>
        <w:rPr>
          <w:rFonts w:hint="eastAsia" w:ascii="仿宋" w:eastAsia="仿宋" w:cs="仿宋"/>
          <w:sz w:val="32"/>
          <w:szCs w:val="32"/>
        </w:rPr>
        <w:t>2.一般公共预算财政拨款收入：指单位从同级财政部门取得的一般公共预算财政预算资金。</w:t>
      </w:r>
    </w:p>
    <w:p>
      <w:pPr>
        <w:ind w:firstLine="640" w:firstLineChars="200"/>
        <w:rPr>
          <w:rFonts w:ascii="仿宋" w:eastAsia="仿宋" w:cs="仿宋"/>
          <w:sz w:val="32"/>
          <w:szCs w:val="32"/>
        </w:rPr>
      </w:pPr>
      <w:r>
        <w:rPr>
          <w:rFonts w:hint="eastAsia" w:ascii="仿宋" w:eastAsia="仿宋" w:cs="仿宋"/>
          <w:sz w:val="32"/>
          <w:szCs w:val="32"/>
        </w:rPr>
        <w:t xml:space="preserve">3.其他收入：指单位取得的除上述收入以外的各项收入。主要是利息收入等。 </w:t>
      </w:r>
    </w:p>
    <w:p>
      <w:pPr>
        <w:ind w:firstLine="640" w:firstLineChars="200"/>
        <w:rPr>
          <w:rFonts w:ascii="仿宋" w:eastAsia="仿宋" w:cs="仿宋"/>
          <w:sz w:val="32"/>
          <w:szCs w:val="32"/>
        </w:rPr>
      </w:pPr>
      <w:r>
        <w:rPr>
          <w:rFonts w:hint="eastAsia" w:ascii="仿宋" w:eastAsia="仿宋" w:cs="仿宋"/>
          <w:sz w:val="32"/>
          <w:szCs w:val="32"/>
        </w:rPr>
        <w:t xml:space="preserve">4.年初结转和结余：指以前年度尚未完成、结转到本年按有关规定继续使用的资金。 </w:t>
      </w:r>
    </w:p>
    <w:p>
      <w:pPr>
        <w:spacing w:line="600" w:lineRule="exact"/>
        <w:ind w:firstLine="640" w:firstLineChars="200"/>
        <w:rPr>
          <w:rFonts w:ascii="仿宋" w:eastAsia="仿宋" w:cs="仿宋"/>
          <w:sz w:val="32"/>
          <w:szCs w:val="32"/>
        </w:rPr>
      </w:pPr>
      <w:r>
        <w:rPr>
          <w:rFonts w:hint="eastAsia" w:ascii="仿宋" w:eastAsia="仿宋" w:cs="仿宋"/>
          <w:sz w:val="32"/>
          <w:szCs w:val="32"/>
        </w:rPr>
        <w:t xml:space="preserve">5.年末结转和结余：指单位按有关规定结转到下年或以后年度继续使用的资金。 </w:t>
      </w:r>
    </w:p>
    <w:p>
      <w:pPr>
        <w:spacing w:line="600" w:lineRule="exact"/>
        <w:ind w:firstLine="640" w:firstLineChars="200"/>
        <w:rPr>
          <w:rFonts w:ascii="仿宋" w:eastAsia="仿宋" w:cs="仿宋"/>
          <w:sz w:val="32"/>
          <w:szCs w:val="32"/>
        </w:rPr>
      </w:pPr>
      <w:r>
        <w:rPr>
          <w:rFonts w:hint="eastAsia" w:ascii="仿宋" w:eastAsia="仿宋" w:cs="仿宋"/>
          <w:sz w:val="32"/>
          <w:szCs w:val="32"/>
        </w:rPr>
        <w:t>6.一般公共服务（类）</w:t>
      </w:r>
      <w:r>
        <w:rPr>
          <w:rFonts w:hint="eastAsia" w:ascii="仿宋" w:eastAsia="仿宋" w:cs="仿宋"/>
          <w:sz w:val="32"/>
          <w:szCs w:val="32"/>
          <w:lang w:val="en-US" w:eastAsia="zh-CN"/>
        </w:rPr>
        <w:t>商贸事务</w:t>
      </w:r>
      <w:r>
        <w:rPr>
          <w:rFonts w:hint="eastAsia" w:ascii="仿宋" w:eastAsia="仿宋" w:cs="仿宋"/>
          <w:sz w:val="32"/>
          <w:szCs w:val="32"/>
        </w:rPr>
        <w:t>（款）招商引资（项）: 反映</w:t>
      </w:r>
      <w:r>
        <w:rPr>
          <w:rFonts w:hint="eastAsia" w:ascii="仿宋" w:eastAsia="仿宋" w:cs="仿宋"/>
          <w:sz w:val="32"/>
          <w:szCs w:val="32"/>
          <w:lang w:val="en-US" w:eastAsia="zh-CN"/>
        </w:rPr>
        <w:t>用于招商引资、优化经济环境等方面</w:t>
      </w:r>
      <w:r>
        <w:rPr>
          <w:rFonts w:hint="eastAsia" w:ascii="仿宋" w:eastAsia="仿宋" w:cs="仿宋"/>
          <w:sz w:val="32"/>
          <w:szCs w:val="32"/>
        </w:rPr>
        <w:t>的支出。</w:t>
      </w:r>
    </w:p>
    <w:p>
      <w:pPr>
        <w:spacing w:line="600" w:lineRule="exact"/>
        <w:ind w:firstLine="640" w:firstLineChars="200"/>
        <w:rPr>
          <w:rFonts w:ascii="仿宋" w:eastAsia="仿宋" w:cs="仿宋"/>
          <w:sz w:val="32"/>
          <w:szCs w:val="32"/>
        </w:rPr>
      </w:pPr>
      <w:r>
        <w:rPr>
          <w:rFonts w:hint="eastAsia" w:ascii="仿宋" w:eastAsia="仿宋" w:cs="仿宋"/>
          <w:sz w:val="32"/>
          <w:szCs w:val="32"/>
        </w:rPr>
        <w:t>7.一般公共服务（类）其他一般公共服务支出（款）其他一般公共服务支出（项）：反映除上述项目以外的其他一般公共服务支出。</w:t>
      </w:r>
    </w:p>
    <w:p>
      <w:pPr>
        <w:spacing w:line="600" w:lineRule="exact"/>
        <w:ind w:firstLine="640" w:firstLineChars="200"/>
        <w:rPr>
          <w:rFonts w:hint="eastAsia" w:ascii="仿宋" w:eastAsia="仿宋" w:cs="仿宋"/>
          <w:sz w:val="32"/>
          <w:szCs w:val="32"/>
          <w:lang w:eastAsia="zh-CN"/>
        </w:rPr>
      </w:pPr>
      <w:r>
        <w:rPr>
          <w:rFonts w:hint="eastAsia" w:ascii="仿宋" w:eastAsia="仿宋" w:cs="仿宋"/>
          <w:sz w:val="32"/>
          <w:szCs w:val="32"/>
        </w:rPr>
        <w:t>8.文化旅游体育与传媒（类）文化和旅游（款）一般行政管理事务（项）: 反映</w:t>
      </w:r>
      <w:r>
        <w:rPr>
          <w:rFonts w:hint="eastAsia" w:ascii="仿宋" w:eastAsia="仿宋" w:cs="仿宋"/>
          <w:sz w:val="32"/>
          <w:szCs w:val="32"/>
          <w:lang w:val="en-US" w:eastAsia="zh-CN"/>
        </w:rPr>
        <w:t>行政单位（包括实行公务员管理的事业单位）未单独设置项级科目</w:t>
      </w:r>
      <w:r>
        <w:rPr>
          <w:rFonts w:hint="eastAsia" w:ascii="仿宋" w:eastAsia="仿宋" w:cs="仿宋"/>
          <w:sz w:val="32"/>
          <w:szCs w:val="32"/>
        </w:rPr>
        <w:t>的</w:t>
      </w:r>
      <w:r>
        <w:rPr>
          <w:rFonts w:hint="eastAsia" w:ascii="仿宋" w:eastAsia="仿宋" w:cs="仿宋"/>
          <w:sz w:val="32"/>
          <w:szCs w:val="32"/>
          <w:lang w:val="en-US" w:eastAsia="zh-CN"/>
        </w:rPr>
        <w:t>其他项目</w:t>
      </w:r>
      <w:r>
        <w:rPr>
          <w:rFonts w:hint="eastAsia" w:ascii="仿宋" w:eastAsia="仿宋" w:cs="仿宋"/>
          <w:sz w:val="32"/>
          <w:szCs w:val="32"/>
        </w:rPr>
        <w:t>支出</w:t>
      </w:r>
      <w:r>
        <w:rPr>
          <w:rFonts w:hint="eastAsia" w:ascii="仿宋" w:eastAsia="仿宋" w:cs="仿宋"/>
          <w:sz w:val="32"/>
          <w:szCs w:val="32"/>
          <w:lang w:eastAsia="zh-CN"/>
        </w:rPr>
        <w:t>。</w:t>
      </w:r>
    </w:p>
    <w:p>
      <w:pPr>
        <w:spacing w:line="600" w:lineRule="exact"/>
        <w:ind w:firstLine="640" w:firstLineChars="200"/>
        <w:rPr>
          <w:rFonts w:hint="eastAsia" w:ascii="仿宋" w:eastAsia="仿宋" w:cs="仿宋"/>
          <w:sz w:val="32"/>
          <w:szCs w:val="32"/>
          <w:lang w:eastAsia="zh-CN"/>
        </w:rPr>
      </w:pPr>
      <w:r>
        <w:rPr>
          <w:rFonts w:hint="eastAsia" w:ascii="仿宋" w:eastAsia="仿宋" w:cs="仿宋"/>
          <w:sz w:val="32"/>
          <w:szCs w:val="32"/>
          <w:lang w:val="en-US" w:eastAsia="zh-CN"/>
        </w:rPr>
        <w:t>9</w:t>
      </w:r>
      <w:r>
        <w:rPr>
          <w:rFonts w:hint="eastAsia" w:ascii="仿宋" w:eastAsia="仿宋" w:cs="仿宋"/>
          <w:sz w:val="32"/>
          <w:szCs w:val="32"/>
        </w:rPr>
        <w:t>.文化旅游体育与传媒（类）文化和旅游（款）艺术表演场所（项）: 反映文化及其他部门主管的剧场（院）的支出</w:t>
      </w:r>
      <w:r>
        <w:rPr>
          <w:rFonts w:hint="eastAsia" w:ascii="仿宋" w:eastAsia="仿宋" w:cs="仿宋"/>
          <w:sz w:val="32"/>
          <w:szCs w:val="32"/>
          <w:lang w:eastAsia="zh-CN"/>
        </w:rPr>
        <w:t>。</w:t>
      </w:r>
    </w:p>
    <w:p>
      <w:pPr>
        <w:spacing w:line="600" w:lineRule="exact"/>
        <w:ind w:firstLine="640" w:firstLineChars="200"/>
        <w:rPr>
          <w:rFonts w:ascii="仿宋" w:eastAsia="仿宋" w:cs="仿宋"/>
          <w:sz w:val="32"/>
          <w:szCs w:val="32"/>
        </w:rPr>
      </w:pPr>
      <w:r>
        <w:rPr>
          <w:rFonts w:hint="eastAsia" w:ascii="仿宋" w:eastAsia="仿宋" w:cs="仿宋"/>
          <w:sz w:val="32"/>
          <w:szCs w:val="32"/>
          <w:lang w:val="en-US" w:eastAsia="zh-CN"/>
        </w:rPr>
        <w:t>10</w:t>
      </w:r>
      <w:r>
        <w:rPr>
          <w:rFonts w:hint="eastAsia" w:ascii="仿宋" w:eastAsia="仿宋" w:cs="仿宋"/>
          <w:sz w:val="32"/>
          <w:szCs w:val="32"/>
        </w:rPr>
        <w:t>.文化旅游体育与传媒（类）文化和旅游（款）文化活动（项）:反映举办大型文化艺术活动的支出。</w:t>
      </w:r>
    </w:p>
    <w:p>
      <w:pPr>
        <w:ind w:firstLine="640" w:firstLineChars="200"/>
        <w:rPr>
          <w:rFonts w:ascii="仿宋" w:eastAsia="仿宋" w:cs="仿宋"/>
          <w:sz w:val="32"/>
          <w:szCs w:val="32"/>
        </w:rPr>
      </w:pPr>
      <w:r>
        <w:rPr>
          <w:rFonts w:hint="eastAsia" w:ascii="仿宋" w:eastAsia="仿宋" w:cs="仿宋"/>
          <w:sz w:val="32"/>
          <w:szCs w:val="32"/>
        </w:rPr>
        <w:t>1</w:t>
      </w:r>
      <w:r>
        <w:rPr>
          <w:rFonts w:hint="eastAsia" w:ascii="仿宋" w:eastAsia="仿宋" w:cs="仿宋"/>
          <w:sz w:val="32"/>
          <w:szCs w:val="32"/>
          <w:lang w:val="en-US" w:eastAsia="zh-CN"/>
        </w:rPr>
        <w:t>1</w:t>
      </w:r>
      <w:r>
        <w:rPr>
          <w:rFonts w:hint="eastAsia" w:ascii="仿宋" w:eastAsia="仿宋" w:cs="仿宋"/>
          <w:sz w:val="32"/>
          <w:szCs w:val="32"/>
        </w:rPr>
        <w:t>.文化旅游体育与传媒支出（类）文化和旅游（款）群众文化（项）支出：反映</w:t>
      </w:r>
      <w:r>
        <w:rPr>
          <w:rFonts w:hint="eastAsia" w:ascii="仿宋" w:eastAsia="仿宋" w:cs="仿宋"/>
          <w:sz w:val="32"/>
          <w:szCs w:val="32"/>
          <w:lang w:val="en-US" w:eastAsia="zh-CN"/>
        </w:rPr>
        <w:t>群众文化方面的支出，包括基层文化馆（站）、群众艺术馆支出等</w:t>
      </w:r>
      <w:r>
        <w:rPr>
          <w:rFonts w:hint="eastAsia" w:ascii="仿宋" w:eastAsia="仿宋" w:cs="仿宋"/>
          <w:sz w:val="32"/>
          <w:szCs w:val="32"/>
        </w:rPr>
        <w:t>。</w:t>
      </w:r>
    </w:p>
    <w:p>
      <w:pPr>
        <w:ind w:firstLine="640" w:firstLineChars="200"/>
        <w:rPr>
          <w:rFonts w:ascii="仿宋" w:eastAsia="仿宋" w:cs="仿宋"/>
          <w:sz w:val="32"/>
          <w:szCs w:val="32"/>
        </w:rPr>
      </w:pPr>
      <w:r>
        <w:rPr>
          <w:rFonts w:hint="eastAsia" w:ascii="仿宋" w:eastAsia="仿宋" w:cs="仿宋"/>
          <w:sz w:val="32"/>
          <w:szCs w:val="32"/>
        </w:rPr>
        <w:t>1</w:t>
      </w:r>
      <w:r>
        <w:rPr>
          <w:rFonts w:hint="eastAsia" w:ascii="仿宋" w:eastAsia="仿宋" w:cs="仿宋"/>
          <w:sz w:val="32"/>
          <w:szCs w:val="32"/>
          <w:lang w:val="en-US" w:eastAsia="zh-CN"/>
        </w:rPr>
        <w:t>2</w:t>
      </w:r>
      <w:r>
        <w:rPr>
          <w:rFonts w:hint="eastAsia" w:ascii="仿宋" w:eastAsia="仿宋" w:cs="仿宋"/>
          <w:sz w:val="32"/>
          <w:szCs w:val="32"/>
        </w:rPr>
        <w:t>.文化旅游体育与传媒支出（类）文化和旅游（款）文化创作与保护（项）支出：反映</w:t>
      </w:r>
      <w:r>
        <w:rPr>
          <w:rFonts w:hint="eastAsia" w:ascii="仿宋" w:eastAsia="仿宋" w:cs="仿宋"/>
          <w:sz w:val="32"/>
          <w:szCs w:val="32"/>
          <w:lang w:val="en-US" w:eastAsia="zh-CN"/>
        </w:rPr>
        <w:t>鼓励文学、艺术创作和优秀传统文化保护方面的支出</w:t>
      </w:r>
      <w:r>
        <w:rPr>
          <w:rFonts w:hint="eastAsia" w:ascii="仿宋" w:eastAsia="仿宋" w:cs="仿宋"/>
          <w:sz w:val="32"/>
          <w:szCs w:val="32"/>
        </w:rPr>
        <w:t>。</w:t>
      </w:r>
    </w:p>
    <w:p>
      <w:pPr>
        <w:ind w:firstLine="640" w:firstLineChars="200"/>
        <w:rPr>
          <w:rFonts w:ascii="仿宋" w:eastAsia="仿宋" w:cs="仿宋"/>
          <w:sz w:val="32"/>
          <w:szCs w:val="32"/>
        </w:rPr>
      </w:pPr>
      <w:r>
        <w:rPr>
          <w:rFonts w:hint="eastAsia" w:ascii="仿宋" w:eastAsia="仿宋" w:cs="仿宋"/>
          <w:sz w:val="32"/>
          <w:szCs w:val="32"/>
        </w:rPr>
        <w:t>1</w:t>
      </w:r>
      <w:r>
        <w:rPr>
          <w:rFonts w:hint="eastAsia" w:ascii="仿宋" w:eastAsia="仿宋" w:cs="仿宋"/>
          <w:sz w:val="32"/>
          <w:szCs w:val="32"/>
          <w:lang w:val="en-US" w:eastAsia="zh-CN"/>
        </w:rPr>
        <w:t>3</w:t>
      </w:r>
      <w:r>
        <w:rPr>
          <w:rFonts w:hint="eastAsia" w:ascii="仿宋" w:eastAsia="仿宋" w:cs="仿宋"/>
          <w:sz w:val="32"/>
          <w:szCs w:val="32"/>
        </w:rPr>
        <w:t>.文化旅游体育与传媒支出（类）文化和旅游（款）文化和旅游市场管理（项）支出：反映文化和旅游执法检查等文化旅游市场管理方面的支出。</w:t>
      </w:r>
    </w:p>
    <w:p>
      <w:pPr>
        <w:ind w:firstLine="640" w:firstLineChars="200"/>
        <w:rPr>
          <w:rFonts w:hint="eastAsia" w:ascii="仿宋" w:eastAsia="仿宋" w:cs="仿宋"/>
          <w:sz w:val="32"/>
          <w:szCs w:val="32"/>
        </w:rPr>
      </w:pPr>
      <w:r>
        <w:rPr>
          <w:rFonts w:hint="eastAsia" w:ascii="仿宋" w:eastAsia="仿宋" w:cs="仿宋"/>
          <w:sz w:val="32"/>
          <w:szCs w:val="32"/>
        </w:rPr>
        <w:t>1</w:t>
      </w:r>
      <w:r>
        <w:rPr>
          <w:rFonts w:hint="eastAsia" w:ascii="仿宋" w:eastAsia="仿宋" w:cs="仿宋"/>
          <w:sz w:val="32"/>
          <w:szCs w:val="32"/>
          <w:lang w:val="en-US" w:eastAsia="zh-CN"/>
        </w:rPr>
        <w:t>4</w:t>
      </w:r>
      <w:r>
        <w:rPr>
          <w:rFonts w:hint="eastAsia" w:ascii="仿宋" w:eastAsia="仿宋" w:cs="仿宋"/>
          <w:sz w:val="32"/>
          <w:szCs w:val="32"/>
        </w:rPr>
        <w:t>.文化旅游体育与传媒支出（类）文化和旅游（款）旅游宣传（项）支出：反映在境内外开展各类旅游宣传促销活动的支出。</w:t>
      </w:r>
    </w:p>
    <w:p>
      <w:pPr>
        <w:ind w:firstLine="640" w:firstLineChars="200"/>
        <w:rPr>
          <w:rFonts w:ascii="仿宋" w:eastAsia="仿宋" w:cs="仿宋"/>
          <w:sz w:val="32"/>
          <w:szCs w:val="32"/>
        </w:rPr>
      </w:pPr>
      <w:r>
        <w:rPr>
          <w:rFonts w:hint="eastAsia" w:ascii="仿宋" w:eastAsia="仿宋" w:cs="仿宋"/>
          <w:sz w:val="32"/>
          <w:szCs w:val="32"/>
        </w:rPr>
        <w:t>1</w:t>
      </w:r>
      <w:r>
        <w:rPr>
          <w:rFonts w:hint="eastAsia" w:ascii="仿宋" w:eastAsia="仿宋" w:cs="仿宋"/>
          <w:sz w:val="32"/>
          <w:szCs w:val="32"/>
          <w:lang w:val="en-US" w:eastAsia="zh-CN"/>
        </w:rPr>
        <w:t>5</w:t>
      </w:r>
      <w:r>
        <w:rPr>
          <w:rFonts w:hint="eastAsia" w:ascii="仿宋" w:eastAsia="仿宋" w:cs="仿宋"/>
          <w:sz w:val="32"/>
          <w:szCs w:val="32"/>
        </w:rPr>
        <w:t>.文化旅游体育与传媒支出（类）文化和旅游（款）文化和旅游管理事务（项）：反映</w:t>
      </w:r>
      <w:r>
        <w:rPr>
          <w:rFonts w:hint="eastAsia" w:ascii="仿宋" w:eastAsia="仿宋" w:cs="仿宋"/>
          <w:sz w:val="32"/>
          <w:szCs w:val="32"/>
          <w:lang w:val="en-US" w:eastAsia="zh-CN"/>
        </w:rPr>
        <w:t>文化和旅游</w:t>
      </w:r>
      <w:r>
        <w:rPr>
          <w:rFonts w:hint="eastAsia" w:ascii="仿宋" w:eastAsia="仿宋" w:cs="仿宋"/>
          <w:sz w:val="32"/>
          <w:szCs w:val="32"/>
        </w:rPr>
        <w:t>管理事务支出。</w:t>
      </w:r>
    </w:p>
    <w:p>
      <w:pPr>
        <w:ind w:firstLine="640" w:firstLineChars="200"/>
        <w:rPr>
          <w:rFonts w:ascii="仿宋" w:eastAsia="仿宋" w:cs="仿宋"/>
          <w:sz w:val="32"/>
          <w:szCs w:val="32"/>
        </w:rPr>
      </w:pPr>
      <w:r>
        <w:rPr>
          <w:rFonts w:hint="eastAsia" w:ascii="仿宋" w:eastAsia="仿宋" w:cs="仿宋"/>
          <w:sz w:val="32"/>
          <w:szCs w:val="32"/>
        </w:rPr>
        <w:t>1</w:t>
      </w:r>
      <w:r>
        <w:rPr>
          <w:rFonts w:hint="eastAsia" w:ascii="仿宋" w:eastAsia="仿宋" w:cs="仿宋"/>
          <w:sz w:val="32"/>
          <w:szCs w:val="32"/>
          <w:lang w:val="en-US" w:eastAsia="zh-CN"/>
        </w:rPr>
        <w:t>6</w:t>
      </w:r>
      <w:r>
        <w:rPr>
          <w:rFonts w:hint="eastAsia" w:ascii="仿宋" w:eastAsia="仿宋" w:cs="仿宋"/>
          <w:sz w:val="32"/>
          <w:szCs w:val="32"/>
        </w:rPr>
        <w:t>.文化旅游体育与传媒支出（类）文化和旅游（款）其他文化和旅游支出（项）：反映除上述项目以外其他用于文化和旅游方面的支出。</w:t>
      </w:r>
    </w:p>
    <w:p>
      <w:pPr>
        <w:spacing w:line="576" w:lineRule="exact"/>
        <w:ind w:firstLine="640" w:firstLineChars="200"/>
        <w:rPr>
          <w:rFonts w:ascii="仿宋" w:eastAsia="仿宋" w:cs="仿宋"/>
          <w:sz w:val="32"/>
          <w:szCs w:val="32"/>
        </w:rPr>
      </w:pPr>
      <w:r>
        <w:rPr>
          <w:rFonts w:hint="eastAsia" w:ascii="仿宋" w:eastAsia="仿宋" w:cs="仿宋"/>
          <w:sz w:val="32"/>
          <w:szCs w:val="32"/>
        </w:rPr>
        <w:t>1</w:t>
      </w:r>
      <w:r>
        <w:rPr>
          <w:rFonts w:hint="eastAsia" w:ascii="仿宋" w:eastAsia="仿宋" w:cs="仿宋"/>
          <w:sz w:val="32"/>
          <w:szCs w:val="32"/>
          <w:lang w:val="en-US" w:eastAsia="zh-CN"/>
        </w:rPr>
        <w:t>7</w:t>
      </w:r>
      <w:r>
        <w:rPr>
          <w:rFonts w:hint="eastAsia" w:ascii="仿宋" w:eastAsia="仿宋" w:cs="仿宋"/>
          <w:sz w:val="32"/>
          <w:szCs w:val="32"/>
        </w:rPr>
        <w:t>.文化旅游体育与传媒支出（类）文物（款）文物保护（项）支出：反映考古发掘及文物保护方面的支出。</w:t>
      </w:r>
    </w:p>
    <w:p>
      <w:pPr>
        <w:ind w:firstLine="640" w:firstLineChars="200"/>
        <w:rPr>
          <w:rFonts w:ascii="仿宋" w:eastAsia="仿宋" w:cs="仿宋"/>
          <w:sz w:val="32"/>
          <w:szCs w:val="32"/>
        </w:rPr>
      </w:pPr>
      <w:r>
        <w:rPr>
          <w:rFonts w:hint="eastAsia" w:ascii="仿宋" w:eastAsia="仿宋" w:cs="仿宋"/>
          <w:sz w:val="32"/>
          <w:szCs w:val="32"/>
        </w:rPr>
        <w:t>1</w:t>
      </w:r>
      <w:r>
        <w:rPr>
          <w:rFonts w:hint="eastAsia" w:ascii="仿宋" w:eastAsia="仿宋" w:cs="仿宋"/>
          <w:sz w:val="32"/>
          <w:szCs w:val="32"/>
          <w:lang w:val="en-US" w:eastAsia="zh-CN"/>
        </w:rPr>
        <w:t>8</w:t>
      </w:r>
      <w:r>
        <w:rPr>
          <w:rFonts w:hint="eastAsia" w:ascii="仿宋" w:eastAsia="仿宋" w:cs="仿宋"/>
          <w:sz w:val="32"/>
          <w:szCs w:val="32"/>
        </w:rPr>
        <w:t>.社会保障和就业支出（类）行政事业单位离退休（款） 行政单位离退休（项）:反映实行归口管理的行政单位开支的离退休经费。</w:t>
      </w:r>
    </w:p>
    <w:p>
      <w:pPr>
        <w:ind w:firstLine="640" w:firstLineChars="200"/>
        <w:rPr>
          <w:rFonts w:ascii="仿宋" w:eastAsia="仿宋" w:cs="仿宋"/>
          <w:sz w:val="32"/>
          <w:szCs w:val="32"/>
        </w:rPr>
      </w:pPr>
      <w:r>
        <w:rPr>
          <w:rFonts w:hint="eastAsia" w:ascii="仿宋" w:eastAsia="仿宋" w:cs="仿宋"/>
          <w:sz w:val="32"/>
          <w:szCs w:val="32"/>
        </w:rPr>
        <w:t>1</w:t>
      </w:r>
      <w:r>
        <w:rPr>
          <w:rFonts w:hint="eastAsia" w:ascii="仿宋" w:eastAsia="仿宋" w:cs="仿宋"/>
          <w:sz w:val="32"/>
          <w:szCs w:val="32"/>
          <w:lang w:val="en-US" w:eastAsia="zh-CN"/>
        </w:rPr>
        <w:t>9</w:t>
      </w:r>
      <w:r>
        <w:rPr>
          <w:rFonts w:hint="eastAsia" w:ascii="仿宋" w:eastAsia="仿宋" w:cs="仿宋"/>
          <w:sz w:val="32"/>
          <w:szCs w:val="32"/>
        </w:rPr>
        <w:t>.社会保障和就业支出（类）行政事业单位离退休（款）机关事业单位基本养老保险缴费支出（项）: 反映机关事业单位实施养老保险制度由单位缴纳的基本养老保险支出。</w:t>
      </w:r>
    </w:p>
    <w:p>
      <w:pPr>
        <w:ind w:firstLine="640" w:firstLineChars="200"/>
        <w:rPr>
          <w:rFonts w:ascii="仿宋" w:eastAsia="仿宋" w:cs="仿宋"/>
          <w:sz w:val="32"/>
          <w:szCs w:val="32"/>
        </w:rPr>
      </w:pPr>
      <w:r>
        <w:rPr>
          <w:rFonts w:hint="eastAsia" w:ascii="仿宋" w:eastAsia="仿宋" w:cs="仿宋"/>
          <w:sz w:val="32"/>
          <w:szCs w:val="32"/>
          <w:lang w:val="en-US" w:eastAsia="zh-CN"/>
        </w:rPr>
        <w:t>20</w:t>
      </w:r>
      <w:r>
        <w:rPr>
          <w:rFonts w:hint="eastAsia" w:ascii="仿宋" w:eastAsia="仿宋" w:cs="仿宋"/>
          <w:sz w:val="32"/>
          <w:szCs w:val="32"/>
        </w:rPr>
        <w:t>.社会保障和就业支出（类）行政事业单位离退休（款）机关事业单位职业年金缴费支出（项）: 反映机关事业单位实施养老保险制度由单位实际缴纳的职业年金支出。</w:t>
      </w:r>
    </w:p>
    <w:p>
      <w:pPr>
        <w:ind w:firstLine="640" w:firstLineChars="200"/>
        <w:rPr>
          <w:rFonts w:ascii="仿宋" w:eastAsia="仿宋" w:cs="仿宋"/>
          <w:sz w:val="32"/>
          <w:szCs w:val="32"/>
        </w:rPr>
      </w:pPr>
      <w:r>
        <w:rPr>
          <w:rFonts w:hint="eastAsia" w:ascii="仿宋" w:eastAsia="仿宋" w:cs="仿宋"/>
          <w:sz w:val="32"/>
          <w:szCs w:val="32"/>
        </w:rPr>
        <w:t>2</w:t>
      </w:r>
      <w:r>
        <w:rPr>
          <w:rFonts w:hint="eastAsia" w:ascii="仿宋" w:eastAsia="仿宋" w:cs="仿宋"/>
          <w:sz w:val="32"/>
          <w:szCs w:val="32"/>
          <w:lang w:val="en-US" w:eastAsia="zh-CN"/>
        </w:rPr>
        <w:t>1</w:t>
      </w:r>
      <w:r>
        <w:rPr>
          <w:rFonts w:hint="eastAsia" w:ascii="仿宋" w:eastAsia="仿宋" w:cs="仿宋"/>
          <w:sz w:val="32"/>
          <w:szCs w:val="32"/>
        </w:rPr>
        <w:t>. 卫生健康支出（类）行政事业单位医疗（款）行政单位医疗（项）:指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0" w:firstLineChars="200"/>
        <w:rPr>
          <w:rFonts w:ascii="仿宋" w:eastAsia="仿宋" w:cs="仿宋"/>
          <w:sz w:val="32"/>
          <w:szCs w:val="32"/>
        </w:rPr>
      </w:pPr>
      <w:r>
        <w:rPr>
          <w:rFonts w:hint="eastAsia" w:ascii="仿宋" w:eastAsia="仿宋" w:cs="仿宋"/>
          <w:sz w:val="32"/>
          <w:szCs w:val="32"/>
        </w:rPr>
        <w:t>2</w:t>
      </w:r>
      <w:r>
        <w:rPr>
          <w:rFonts w:hint="eastAsia" w:ascii="仿宋" w:eastAsia="仿宋" w:cs="仿宋"/>
          <w:sz w:val="32"/>
          <w:szCs w:val="32"/>
          <w:lang w:val="en-US" w:eastAsia="zh-CN"/>
        </w:rPr>
        <w:t>2</w:t>
      </w:r>
      <w:r>
        <w:rPr>
          <w:rFonts w:hint="eastAsia" w:ascii="仿宋" w:eastAsia="仿宋" w:cs="仿宋"/>
          <w:sz w:val="32"/>
          <w:szCs w:val="32"/>
        </w:rPr>
        <w:t>.交通运输（类）民用航空运输（款）其他民用航空运输支出（项）：反映与民航运输有关的支出。</w:t>
      </w:r>
    </w:p>
    <w:p>
      <w:pPr>
        <w:ind w:firstLine="640" w:firstLineChars="200"/>
        <w:rPr>
          <w:rFonts w:ascii="仿宋" w:eastAsia="仿宋" w:cs="仿宋"/>
          <w:sz w:val="32"/>
          <w:szCs w:val="32"/>
        </w:rPr>
      </w:pPr>
      <w:r>
        <w:rPr>
          <w:rFonts w:hint="eastAsia" w:ascii="仿宋" w:eastAsia="仿宋" w:cs="仿宋"/>
          <w:sz w:val="32"/>
          <w:szCs w:val="32"/>
        </w:rPr>
        <w:t>2</w:t>
      </w:r>
      <w:r>
        <w:rPr>
          <w:rFonts w:hint="eastAsia" w:ascii="仿宋" w:eastAsia="仿宋" w:cs="仿宋"/>
          <w:sz w:val="32"/>
          <w:szCs w:val="32"/>
          <w:lang w:val="en-US" w:eastAsia="zh-CN"/>
        </w:rPr>
        <w:t>3</w:t>
      </w:r>
      <w:r>
        <w:rPr>
          <w:rFonts w:hint="eastAsia" w:ascii="仿宋" w:eastAsia="仿宋" w:cs="仿宋"/>
          <w:sz w:val="32"/>
          <w:szCs w:val="32"/>
        </w:rPr>
        <w:t>.住房保障支出（类）住房改革支出（款）住房公积金（项）: 反映行政事业单位按人力资源和社会保障部、财政部规定的基本工资和津贴补贴以及规定比例为职工缴纳的住房公积金。</w:t>
      </w:r>
    </w:p>
    <w:p>
      <w:pPr>
        <w:ind w:firstLine="640" w:firstLineChars="200"/>
        <w:rPr>
          <w:rFonts w:ascii="仿宋" w:eastAsia="仿宋" w:cs="仿宋"/>
          <w:sz w:val="32"/>
          <w:szCs w:val="32"/>
        </w:rPr>
      </w:pPr>
      <w:r>
        <w:rPr>
          <w:rFonts w:hint="eastAsia" w:ascii="仿宋" w:eastAsia="仿宋" w:cs="仿宋"/>
          <w:sz w:val="32"/>
          <w:szCs w:val="32"/>
        </w:rPr>
        <w:t>2</w:t>
      </w:r>
      <w:r>
        <w:rPr>
          <w:rFonts w:hint="eastAsia" w:ascii="仿宋" w:eastAsia="仿宋" w:cs="仿宋"/>
          <w:sz w:val="32"/>
          <w:szCs w:val="32"/>
          <w:lang w:val="en-US" w:eastAsia="zh-CN"/>
        </w:rPr>
        <w:t>4</w:t>
      </w:r>
      <w:r>
        <w:rPr>
          <w:rFonts w:hint="eastAsia" w:ascii="仿宋" w:eastAsia="仿宋" w:cs="仿宋"/>
          <w:sz w:val="32"/>
          <w:szCs w:val="32"/>
        </w:rPr>
        <w:t>.基本支出：指为保障机构正常运转、完成日常工作任务而发生的人员支出和公用支出。</w:t>
      </w:r>
    </w:p>
    <w:p>
      <w:pPr>
        <w:ind w:firstLine="640" w:firstLineChars="200"/>
        <w:rPr>
          <w:rFonts w:ascii="仿宋" w:eastAsia="仿宋" w:cs="仿宋"/>
          <w:sz w:val="32"/>
          <w:szCs w:val="32"/>
        </w:rPr>
      </w:pPr>
      <w:r>
        <w:rPr>
          <w:rFonts w:hint="eastAsia" w:ascii="仿宋" w:eastAsia="仿宋" w:cs="仿宋"/>
          <w:sz w:val="32"/>
          <w:szCs w:val="32"/>
        </w:rPr>
        <w:t>2</w:t>
      </w:r>
      <w:r>
        <w:rPr>
          <w:rFonts w:hint="eastAsia" w:ascii="仿宋" w:eastAsia="仿宋" w:cs="仿宋"/>
          <w:sz w:val="32"/>
          <w:szCs w:val="32"/>
          <w:lang w:val="en-US" w:eastAsia="zh-CN"/>
        </w:rPr>
        <w:t>5</w:t>
      </w:r>
      <w:r>
        <w:rPr>
          <w:rFonts w:hint="eastAsia" w:ascii="仿宋" w:eastAsia="仿宋" w:cs="仿宋"/>
          <w:sz w:val="32"/>
          <w:szCs w:val="32"/>
        </w:rPr>
        <w:t xml:space="preserve">.项目支出：指在基本支出之外为完成特定行政任务和事业发展目标所发生的支出。 </w:t>
      </w:r>
    </w:p>
    <w:p>
      <w:pPr>
        <w:ind w:firstLine="640" w:firstLineChars="200"/>
        <w:rPr>
          <w:rFonts w:ascii="仿宋" w:eastAsia="仿宋" w:cs="仿宋"/>
          <w:sz w:val="32"/>
          <w:szCs w:val="32"/>
        </w:rPr>
      </w:pPr>
      <w:r>
        <w:rPr>
          <w:rFonts w:hint="eastAsia" w:ascii="仿宋" w:eastAsia="仿宋" w:cs="仿宋"/>
          <w:sz w:val="32"/>
          <w:szCs w:val="32"/>
        </w:rPr>
        <w:t>2</w:t>
      </w:r>
      <w:r>
        <w:rPr>
          <w:rFonts w:hint="eastAsia" w:ascii="仿宋" w:eastAsia="仿宋" w:cs="仿宋"/>
          <w:sz w:val="32"/>
          <w:szCs w:val="32"/>
          <w:lang w:val="en-US" w:eastAsia="zh-CN"/>
        </w:rPr>
        <w:t>6</w:t>
      </w:r>
      <w:r>
        <w:rPr>
          <w:rFonts w:hint="eastAsia" w:ascii="仿宋" w:eastAsia="仿宋" w:cs="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rPr>
          <w:rFonts w:ascii="仿宋" w:hAnsi="仿宋" w:eastAsia="仿宋"/>
          <w:b/>
          <w:color w:val="auto"/>
          <w:sz w:val="32"/>
          <w:szCs w:val="32"/>
          <w:highlight w:val="none"/>
        </w:rPr>
      </w:pPr>
      <w:r>
        <w:rPr>
          <w:rFonts w:hint="eastAsia" w:ascii="仿宋" w:eastAsia="仿宋" w:cs="仿宋"/>
          <w:sz w:val="32"/>
          <w:szCs w:val="32"/>
        </w:rPr>
        <w:t>2</w:t>
      </w:r>
      <w:r>
        <w:rPr>
          <w:rFonts w:hint="eastAsia" w:ascii="仿宋" w:eastAsia="仿宋" w:cs="仿宋"/>
          <w:sz w:val="32"/>
          <w:szCs w:val="32"/>
          <w:lang w:val="en-US" w:eastAsia="zh-CN"/>
        </w:rPr>
        <w:t>7</w:t>
      </w:r>
      <w:r>
        <w:rPr>
          <w:rFonts w:hint="eastAsia" w:ascii="仿宋" w:eastAsia="仿宋" w:cs="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spacing w:line="600" w:lineRule="exact"/>
        <w:jc w:val="center"/>
        <w:outlineLvl w:val="0"/>
        <w:rPr>
          <w:rStyle w:val="24"/>
          <w:rFonts w:ascii="黑体" w:hAnsi="黑体" w:eastAsia="黑体"/>
          <w:b w:val="0"/>
          <w:color w:val="auto"/>
          <w:highlight w:val="none"/>
        </w:rPr>
      </w:pPr>
      <w:bookmarkStart w:id="73" w:name="_Toc15377226"/>
      <w:r>
        <w:rPr>
          <w:rFonts w:ascii="宋体"/>
          <w:b/>
          <w:color w:val="auto"/>
          <w:sz w:val="44"/>
          <w:szCs w:val="44"/>
          <w:highlight w:val="none"/>
        </w:rPr>
        <w:br w:type="page"/>
      </w:r>
      <w:bookmarkStart w:id="74" w:name="_Toc4037"/>
      <w:bookmarkStart w:id="75" w:name="_Toc15396614"/>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bookmarkEnd w:id="74"/>
      <w:bookmarkEnd w:id="75"/>
    </w:p>
    <w:p>
      <w:pPr>
        <w:pStyle w:val="6"/>
        <w:spacing w:before="93"/>
        <w:rPr>
          <w:rFonts w:hint="eastAsia" w:ascii="仿宋" w:hAnsi="仿宋" w:eastAsia="黑体" w:cs="仿宋"/>
          <w:color w:val="auto"/>
          <w:sz w:val="32"/>
          <w:szCs w:val="32"/>
          <w:highlight w:val="none"/>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tbl>
      <w:tblPr>
        <w:tblStyle w:val="12"/>
        <w:tblW w:w="96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319"/>
        <w:gridCol w:w="926"/>
        <w:gridCol w:w="1338"/>
        <w:gridCol w:w="518"/>
        <w:gridCol w:w="1185"/>
        <w:gridCol w:w="518"/>
        <w:gridCol w:w="1084"/>
        <w:gridCol w:w="576"/>
        <w:gridCol w:w="455"/>
        <w:gridCol w:w="1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96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bookmarkStart w:id="76" w:name="_Toc15396618"/>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51000021R000000019951-工资性支出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广元市文化广播电视和旅游局部门</w:t>
            </w:r>
          </w:p>
        </w:tc>
        <w:tc>
          <w:tcPr>
            <w:tcW w:w="108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2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596.71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828.00</w:t>
            </w: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826.96</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99.87%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596.71</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828.00</w:t>
            </w: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826.96</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99.87%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46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0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kern w:val="0"/>
                <w:sz w:val="16"/>
                <w:szCs w:val="16"/>
              </w:rPr>
              <w:t xml:space="preserve">结合自评情况，说明项目自评总分99分，按时发放职工工资并交纳五险一金。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0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kern w:val="0"/>
                <w:sz w:val="16"/>
                <w:szCs w:val="16"/>
              </w:rPr>
              <w:t>在预算执行过程中，强化绩效监控管理。绩效指标设置的精准性、合理性有待进一步改善。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0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kern w:val="0"/>
                <w:sz w:val="16"/>
                <w:szCs w:val="16"/>
              </w:rPr>
              <w:t>加强绩效管理，提高绩效管理水平，进一步规范绩效目标编制。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6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9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6"/>
        <w:spacing w:before="93"/>
        <w:rPr>
          <w:rFonts w:hint="eastAsia" w:ascii="仿宋" w:hAnsi="Calibri" w:eastAsia="黑体" w:cs="仿宋"/>
          <w:color w:val="auto"/>
          <w:kern w:val="0"/>
          <w:sz w:val="32"/>
          <w:szCs w:val="32"/>
          <w:highlight w:val="none"/>
          <w:lang w:val="en-US" w:eastAsia="zh-CN" w:bidi="ar-SA"/>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tbl>
      <w:tblPr>
        <w:tblStyle w:val="12"/>
        <w:tblW w:w="96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319"/>
        <w:gridCol w:w="926"/>
        <w:gridCol w:w="1338"/>
        <w:gridCol w:w="518"/>
        <w:gridCol w:w="1185"/>
        <w:gridCol w:w="518"/>
        <w:gridCol w:w="1084"/>
        <w:gridCol w:w="576"/>
        <w:gridCol w:w="455"/>
        <w:gridCol w:w="1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96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51000021R000000019952-其他人员支出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广元市文化广播电视和旅游局部门</w:t>
            </w:r>
          </w:p>
        </w:tc>
        <w:tc>
          <w:tcPr>
            <w:tcW w:w="108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2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5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24.49</w:t>
            </w: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24.49</w:t>
            </w: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746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0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结合自评情况，说明项目自评总分99分，</w:t>
            </w: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0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color w:val="000000"/>
                <w:kern w:val="0"/>
                <w:sz w:val="16"/>
                <w:szCs w:val="16"/>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0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6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9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6"/>
        <w:ind w:left="-420" w:leftChars="-200" w:firstLine="0" w:firstLineChars="0"/>
        <w:rPr>
          <w:rFonts w:hint="eastAsia" w:ascii="仿宋" w:hAnsi="Calibri" w:eastAsia="仿宋" w:cs="仿宋"/>
          <w:color w:val="auto"/>
          <w:kern w:val="0"/>
          <w:sz w:val="32"/>
          <w:szCs w:val="32"/>
          <w:highlight w:val="none"/>
          <w:lang w:val="en-US" w:eastAsia="zh-CN" w:bidi="ar-SA"/>
        </w:rPr>
      </w:pPr>
    </w:p>
    <w:p>
      <w:pPr>
        <w:pStyle w:val="6"/>
        <w:ind w:left="-420" w:leftChars="-200" w:firstLine="0" w:firstLineChars="0"/>
        <w:rPr>
          <w:rFonts w:hint="eastAsia" w:ascii="仿宋" w:hAnsi="Calibri" w:eastAsia="仿宋" w:cs="仿宋"/>
          <w:color w:val="auto"/>
          <w:kern w:val="0"/>
          <w:sz w:val="32"/>
          <w:szCs w:val="32"/>
          <w:highlight w:val="none"/>
          <w:lang w:val="en-US" w:eastAsia="zh-CN" w:bidi="ar-SA"/>
        </w:rPr>
      </w:pPr>
    </w:p>
    <w:p>
      <w:pPr>
        <w:pStyle w:val="6"/>
        <w:rPr>
          <w:rFonts w:hint="eastAsia" w:ascii="仿宋" w:hAnsi="Calibri" w:eastAsia="仿宋" w:cs="仿宋"/>
          <w:color w:val="auto"/>
          <w:kern w:val="0"/>
          <w:sz w:val="32"/>
          <w:szCs w:val="32"/>
          <w:highlight w:val="none"/>
          <w:lang w:val="en-US" w:eastAsia="zh-CN" w:bidi="ar-SA"/>
        </w:rPr>
      </w:pPr>
    </w:p>
    <w:p>
      <w:pPr>
        <w:pStyle w:val="6"/>
        <w:spacing w:before="93"/>
        <w:rPr>
          <w:rFonts w:hint="eastAsia" w:ascii="仿宋" w:hAnsi="Calibri" w:eastAsia="仿宋" w:cs="仿宋"/>
          <w:color w:val="auto"/>
          <w:kern w:val="0"/>
          <w:sz w:val="32"/>
          <w:szCs w:val="32"/>
          <w:highlight w:val="none"/>
          <w:lang w:val="en-US" w:eastAsia="zh-CN" w:bidi="ar-SA"/>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tbl>
      <w:tblPr>
        <w:tblStyle w:val="12"/>
        <w:tblW w:w="9645" w:type="dxa"/>
        <w:tblInd w:w="-43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319"/>
        <w:gridCol w:w="924"/>
        <w:gridCol w:w="1335"/>
        <w:gridCol w:w="518"/>
        <w:gridCol w:w="1185"/>
        <w:gridCol w:w="518"/>
        <w:gridCol w:w="1086"/>
        <w:gridCol w:w="576"/>
        <w:gridCol w:w="455"/>
        <w:gridCol w:w="11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96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51000021R000000019956-离退休费支出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广元市文化广播电视和旅游局部门</w:t>
            </w:r>
          </w:p>
        </w:tc>
        <w:tc>
          <w:tcPr>
            <w:tcW w:w="10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2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94.06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94.06</w:t>
            </w: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94.06</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94.06</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94.06</w:t>
            </w: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94.06</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746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0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结合自评情况，说明项目自评总分99分，</w:t>
            </w: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0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0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6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9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6"/>
        <w:spacing w:before="93"/>
        <w:rPr>
          <w:rFonts w:hint="eastAsia" w:ascii="仿宋" w:hAnsi="Calibri" w:eastAsia="黑体" w:cs="仿宋"/>
          <w:color w:val="auto"/>
          <w:kern w:val="0"/>
          <w:sz w:val="32"/>
          <w:szCs w:val="32"/>
          <w:highlight w:val="none"/>
          <w:lang w:val="en-US" w:eastAsia="zh-CN" w:bidi="ar-SA"/>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tbl>
      <w:tblPr>
        <w:tblStyle w:val="12"/>
        <w:tblW w:w="96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319"/>
        <w:gridCol w:w="923"/>
        <w:gridCol w:w="1334"/>
        <w:gridCol w:w="518"/>
        <w:gridCol w:w="1185"/>
        <w:gridCol w:w="518"/>
        <w:gridCol w:w="1086"/>
        <w:gridCol w:w="576"/>
        <w:gridCol w:w="455"/>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jc w:val="center"/>
        </w:trPr>
        <w:tc>
          <w:tcPr>
            <w:tcW w:w="96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7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51000021R000000019958-其他支出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4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广元市文化广播电视和旅游局部门</w:t>
            </w:r>
          </w:p>
        </w:tc>
        <w:tc>
          <w:tcPr>
            <w:tcW w:w="10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4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4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2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775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2.76</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2.76</w:t>
            </w: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2.76</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2.76</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2.76</w:t>
            </w: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2.76</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45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0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结合自评情况，说明项目自评总分99分，</w:t>
            </w: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0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0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67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9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6"/>
        <w:rPr>
          <w:rFonts w:hint="eastAsia" w:ascii="仿宋" w:hAnsi="Calibri" w:eastAsia="仿宋" w:cs="仿宋"/>
          <w:color w:val="auto"/>
          <w:kern w:val="0"/>
          <w:sz w:val="32"/>
          <w:szCs w:val="32"/>
          <w:highlight w:val="none"/>
          <w:lang w:val="en-US" w:eastAsia="zh-CN" w:bidi="ar-SA"/>
        </w:rPr>
      </w:pPr>
    </w:p>
    <w:p>
      <w:pPr>
        <w:pStyle w:val="6"/>
        <w:spacing w:before="93"/>
        <w:rPr>
          <w:rFonts w:hint="eastAsia" w:ascii="仿宋" w:hAnsi="Calibri" w:eastAsia="黑体" w:cs="仿宋"/>
          <w:color w:val="auto"/>
          <w:kern w:val="0"/>
          <w:sz w:val="32"/>
          <w:szCs w:val="32"/>
          <w:highlight w:val="none"/>
          <w:lang w:val="en-US" w:eastAsia="zh-CN" w:bidi="ar-SA"/>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tbl>
      <w:tblPr>
        <w:tblStyle w:val="12"/>
        <w:tblW w:w="99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296"/>
        <w:gridCol w:w="916"/>
        <w:gridCol w:w="1600"/>
        <w:gridCol w:w="517"/>
        <w:gridCol w:w="1174"/>
        <w:gridCol w:w="515"/>
        <w:gridCol w:w="1132"/>
        <w:gridCol w:w="624"/>
        <w:gridCol w:w="456"/>
        <w:gridCol w:w="1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99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51000021Y000000011490-定额公用经费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广元市文化广播电视和旅游局部门</w:t>
            </w:r>
          </w:p>
        </w:tc>
        <w:tc>
          <w:tcPr>
            <w:tcW w:w="113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2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3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7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33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64.80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62.61</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62.61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64.80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62.61</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62.61</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2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3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结合自评情况，说明项目自评总分99分，</w:t>
            </w:r>
            <w:r>
              <w:rPr>
                <w:rFonts w:ascii="宋体" w:hAnsi="宋体" w:eastAsia="宋体" w:cs="宋体"/>
                <w:i w:val="0"/>
                <w:iCs w:val="0"/>
                <w:color w:val="000000"/>
                <w:kern w:val="0"/>
                <w:sz w:val="18"/>
                <w:szCs w:val="18"/>
                <w:u w:val="none"/>
                <w:lang w:val="en-US" w:eastAsia="zh-CN" w:bidi="ar"/>
              </w:rPr>
              <w:t>保障单位日常运转，提高预算编制质量，严格执行预算</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3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3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9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50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6"/>
        <w:spacing w:before="93"/>
        <w:rPr>
          <w:rFonts w:hint="eastAsia" w:ascii="黑体" w:hAnsi="黑体" w:eastAsia="黑体" w:cs="黑体"/>
          <w:sz w:val="32"/>
          <w:szCs w:val="32"/>
        </w:rPr>
      </w:pPr>
    </w:p>
    <w:p>
      <w:pPr>
        <w:pStyle w:val="6"/>
        <w:spacing w:before="93"/>
        <w:rPr>
          <w:rFonts w:hint="eastAsia" w:ascii="黑体" w:hAnsi="黑体" w:eastAsia="黑体" w:cs="黑体"/>
          <w:sz w:val="32"/>
          <w:szCs w:val="32"/>
        </w:rPr>
      </w:pPr>
    </w:p>
    <w:p>
      <w:pPr>
        <w:pStyle w:val="6"/>
        <w:spacing w:before="93"/>
        <w:rPr>
          <w:rFonts w:hint="eastAsia" w:ascii="仿宋" w:hAnsi="Calibri" w:eastAsia="黑体" w:cs="仿宋"/>
          <w:color w:val="auto"/>
          <w:kern w:val="0"/>
          <w:sz w:val="32"/>
          <w:szCs w:val="32"/>
          <w:highlight w:val="none"/>
          <w:lang w:val="en-US" w:eastAsia="zh-CN" w:bidi="ar-SA"/>
        </w:rPr>
      </w:pPr>
      <w:r>
        <w:rPr>
          <w:rFonts w:hint="eastAsia" w:ascii="黑体" w:hAnsi="黑体" w:eastAsia="黑体" w:cs="黑体"/>
          <w:sz w:val="32"/>
          <w:szCs w:val="32"/>
        </w:rPr>
        <w:t>附件</w:t>
      </w:r>
      <w:r>
        <w:rPr>
          <w:rFonts w:hint="eastAsia" w:ascii="黑体" w:hAnsi="黑体" w:eastAsia="黑体" w:cs="黑体"/>
          <w:sz w:val="32"/>
          <w:szCs w:val="32"/>
          <w:lang w:val="en-US" w:eastAsia="zh-CN"/>
        </w:rPr>
        <w:t>6</w:t>
      </w:r>
    </w:p>
    <w:tbl>
      <w:tblPr>
        <w:tblStyle w:val="12"/>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8"/>
        <w:gridCol w:w="1319"/>
        <w:gridCol w:w="925"/>
        <w:gridCol w:w="1612"/>
        <w:gridCol w:w="519"/>
        <w:gridCol w:w="1186"/>
        <w:gridCol w:w="519"/>
        <w:gridCol w:w="1086"/>
        <w:gridCol w:w="576"/>
        <w:gridCol w:w="455"/>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51080021Y000000176770-其他公用经费（福利、工会、公车补贴、党建、退休活动）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3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63.08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63.08</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63.08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63.08</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63.08</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63.08</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0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结合自评情况，说明项目自评总分98分，</w:t>
            </w:r>
            <w:r>
              <w:rPr>
                <w:rFonts w:ascii="宋体" w:hAnsi="宋体" w:eastAsia="宋体" w:cs="宋体"/>
                <w:i w:val="0"/>
                <w:iCs w:val="0"/>
                <w:color w:val="000000"/>
                <w:kern w:val="0"/>
                <w:sz w:val="18"/>
                <w:szCs w:val="18"/>
                <w:u w:val="none"/>
                <w:lang w:val="en-US" w:eastAsia="zh-CN" w:bidi="ar"/>
              </w:rPr>
              <w:t>保障单位日常运转，提高预算编制质量，严格执行预算</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2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6"/>
        <w:rPr>
          <w:rFonts w:hint="eastAsia" w:ascii="仿宋" w:hAnsi="Calibri" w:eastAsia="仿宋" w:cs="仿宋"/>
          <w:color w:val="auto"/>
          <w:kern w:val="0"/>
          <w:sz w:val="32"/>
          <w:szCs w:val="32"/>
          <w:highlight w:val="none"/>
          <w:lang w:val="en-US" w:eastAsia="zh-CN" w:bidi="ar-SA"/>
        </w:rPr>
      </w:pPr>
    </w:p>
    <w:p>
      <w:pPr>
        <w:pStyle w:val="6"/>
        <w:rPr>
          <w:rFonts w:hint="eastAsia" w:ascii="仿宋" w:hAnsi="Calibri" w:eastAsia="仿宋" w:cs="仿宋"/>
          <w:color w:val="auto"/>
          <w:kern w:val="0"/>
          <w:sz w:val="32"/>
          <w:szCs w:val="32"/>
          <w:highlight w:val="none"/>
          <w:lang w:val="en-US" w:eastAsia="zh-CN" w:bidi="ar-SA"/>
        </w:rPr>
      </w:pPr>
    </w:p>
    <w:p>
      <w:pPr>
        <w:pStyle w:val="6"/>
        <w:spacing w:before="93"/>
        <w:rPr>
          <w:rFonts w:hint="eastAsia" w:ascii="仿宋" w:hAnsi="Calibri" w:eastAsia="黑体" w:cs="仿宋"/>
          <w:color w:val="auto"/>
          <w:kern w:val="0"/>
          <w:sz w:val="32"/>
          <w:szCs w:val="32"/>
          <w:highlight w:val="none"/>
          <w:lang w:val="en-US" w:eastAsia="zh-CN" w:bidi="ar-SA"/>
        </w:rPr>
      </w:pPr>
      <w:r>
        <w:rPr>
          <w:rFonts w:hint="eastAsia" w:ascii="黑体" w:hAnsi="黑体" w:eastAsia="黑体" w:cs="黑体"/>
          <w:sz w:val="32"/>
          <w:szCs w:val="32"/>
        </w:rPr>
        <w:t>附件</w:t>
      </w:r>
      <w:r>
        <w:rPr>
          <w:rFonts w:hint="eastAsia" w:ascii="黑体" w:hAnsi="黑体" w:eastAsia="黑体" w:cs="黑体"/>
          <w:sz w:val="32"/>
          <w:szCs w:val="32"/>
          <w:lang w:val="en-US" w:eastAsia="zh-CN"/>
        </w:rPr>
        <w:t>7</w:t>
      </w:r>
    </w:p>
    <w:tbl>
      <w:tblPr>
        <w:tblStyle w:val="12"/>
        <w:tblW w:w="108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9"/>
        <w:gridCol w:w="921"/>
        <w:gridCol w:w="925"/>
        <w:gridCol w:w="922"/>
        <w:gridCol w:w="917"/>
        <w:gridCol w:w="744"/>
        <w:gridCol w:w="925"/>
        <w:gridCol w:w="859"/>
        <w:gridCol w:w="928"/>
        <w:gridCol w:w="920"/>
        <w:gridCol w:w="914"/>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064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部门预算、项目支出绩效目标自评表（2022年度）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88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文化艺术中心运行维护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主管部门（盖章）</w:t>
            </w:r>
          </w:p>
        </w:tc>
        <w:tc>
          <w:tcPr>
            <w:tcW w:w="43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广元市文化广播电视和旅游局</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 （盖章）</w:t>
            </w:r>
          </w:p>
        </w:tc>
        <w:tc>
          <w:tcPr>
            <w:tcW w:w="36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9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43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44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9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43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维持文化艺术中心正常运转，保证民生工程落实落地。</w:t>
            </w:r>
          </w:p>
        </w:tc>
        <w:tc>
          <w:tcPr>
            <w:tcW w:w="44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按照移交协议，我局监管市文旅城服公司对文化艺术中心的运行维护，根据运维情况拨付定额补助。维持文化艺术中心正常运转，保证民生工程落实落地。全年运转正常。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883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按照移交协议，我局监管市文旅城服公司对文化艺术中心的运行维护，根据运维情况拨付定额补助。维持文化艺术中心正常运转，保证民生工程落实落地。全年运转正常。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预算执行情况（10分）</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年度预算数（万元）</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41.52</w:t>
            </w:r>
          </w:p>
        </w:tc>
        <w:tc>
          <w:tcPr>
            <w:tcW w:w="2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41.52</w:t>
            </w:r>
          </w:p>
        </w:tc>
        <w:tc>
          <w:tcPr>
            <w:tcW w:w="2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5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维护建筑面积</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41000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平方米</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41000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年度惠民服务人次</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万人次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全年安全正常开放无事故</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文化惠民落实落地</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市民满意度</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2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部门（单位）自评结论</w:t>
            </w:r>
          </w:p>
        </w:tc>
        <w:tc>
          <w:tcPr>
            <w:tcW w:w="97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部门（单位）自评存在问题</w:t>
            </w:r>
          </w:p>
        </w:tc>
        <w:tc>
          <w:tcPr>
            <w:tcW w:w="97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部门（单位）自评改进措施</w:t>
            </w:r>
          </w:p>
        </w:tc>
        <w:tc>
          <w:tcPr>
            <w:tcW w:w="97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财政部门对口科室复评结论及整改要求</w:t>
            </w:r>
          </w:p>
        </w:tc>
        <w:tc>
          <w:tcPr>
            <w:tcW w:w="974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单位项目负责人：</w:t>
            </w:r>
          </w:p>
        </w:tc>
        <w:tc>
          <w:tcPr>
            <w:tcW w:w="611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部门项目负责人：</w:t>
            </w:r>
          </w:p>
        </w:tc>
        <w:tc>
          <w:tcPr>
            <w:tcW w:w="611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64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财政部门科室负责人：</w:t>
            </w:r>
          </w:p>
        </w:tc>
      </w:tr>
    </w:tbl>
    <w:p>
      <w:pPr>
        <w:pStyle w:val="6"/>
        <w:spacing w:before="93"/>
        <w:rPr>
          <w:rFonts w:hint="eastAsia" w:ascii="仿宋" w:hAnsi="Calibri" w:eastAsia="黑体" w:cs="仿宋"/>
          <w:color w:val="auto"/>
          <w:kern w:val="0"/>
          <w:sz w:val="32"/>
          <w:szCs w:val="32"/>
          <w:highlight w:val="none"/>
          <w:lang w:val="en-US" w:eastAsia="zh-CN" w:bidi="ar-SA"/>
        </w:rPr>
      </w:pPr>
      <w:r>
        <w:rPr>
          <w:rFonts w:hint="eastAsia" w:ascii="黑体" w:hAnsi="黑体" w:eastAsia="黑体" w:cs="黑体"/>
          <w:sz w:val="32"/>
          <w:szCs w:val="32"/>
        </w:rPr>
        <w:t>附件</w:t>
      </w:r>
      <w:r>
        <w:rPr>
          <w:rFonts w:hint="eastAsia" w:ascii="黑体" w:hAnsi="黑体" w:eastAsia="黑体" w:cs="黑体"/>
          <w:sz w:val="32"/>
          <w:szCs w:val="32"/>
          <w:lang w:val="en-US" w:eastAsia="zh-CN"/>
        </w:rPr>
        <w:t>8</w:t>
      </w:r>
    </w:p>
    <w:tbl>
      <w:tblPr>
        <w:tblStyle w:val="12"/>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9"/>
        <w:gridCol w:w="1321"/>
        <w:gridCol w:w="927"/>
        <w:gridCol w:w="1604"/>
        <w:gridCol w:w="519"/>
        <w:gridCol w:w="1187"/>
        <w:gridCol w:w="519"/>
        <w:gridCol w:w="1087"/>
        <w:gridCol w:w="576"/>
        <w:gridCol w:w="455"/>
        <w:gridCol w:w="1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02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51080022R000000267546-工资性支出（事业）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108.40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146.94</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146.94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108.40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146.94</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146.94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按时发放率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结余率（计算方法为：结余数/预算数）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0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结合自评情况，说明项目自评总分99分，</w:t>
            </w: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2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6"/>
        <w:rPr>
          <w:rFonts w:hint="eastAsia" w:ascii="仿宋" w:hAnsi="Calibri" w:eastAsia="仿宋" w:cs="仿宋"/>
          <w:color w:val="auto"/>
          <w:kern w:val="0"/>
          <w:sz w:val="32"/>
          <w:szCs w:val="32"/>
          <w:highlight w:val="none"/>
          <w:lang w:val="en-US" w:eastAsia="zh-CN" w:bidi="ar-SA"/>
        </w:rPr>
      </w:pPr>
    </w:p>
    <w:p>
      <w:pPr>
        <w:pStyle w:val="6"/>
        <w:spacing w:before="93"/>
        <w:rPr>
          <w:rFonts w:hint="eastAsia" w:ascii="黑体" w:hAnsi="黑体" w:eastAsia="黑体"/>
          <w:color w:val="auto"/>
          <w:sz w:val="44"/>
          <w:szCs w:val="44"/>
          <w:highlight w:val="none"/>
        </w:rPr>
      </w:pPr>
      <w:bookmarkStart w:id="77" w:name="_Toc30276"/>
      <w:r>
        <w:rPr>
          <w:rFonts w:hint="eastAsia" w:ascii="黑体" w:hAnsi="黑体" w:eastAsia="黑体" w:cs="黑体"/>
          <w:sz w:val="32"/>
          <w:szCs w:val="32"/>
        </w:rPr>
        <w:t>附件</w:t>
      </w:r>
      <w:r>
        <w:rPr>
          <w:rFonts w:hint="eastAsia" w:ascii="黑体" w:hAnsi="黑体" w:eastAsia="黑体" w:cs="黑体"/>
          <w:sz w:val="32"/>
          <w:szCs w:val="32"/>
          <w:lang w:val="en-US" w:eastAsia="zh-CN"/>
        </w:rPr>
        <w:t>9</w:t>
      </w:r>
    </w:p>
    <w:tbl>
      <w:tblPr>
        <w:tblStyle w:val="12"/>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1334"/>
        <w:gridCol w:w="930"/>
        <w:gridCol w:w="1619"/>
        <w:gridCol w:w="521"/>
        <w:gridCol w:w="1199"/>
        <w:gridCol w:w="521"/>
        <w:gridCol w:w="1091"/>
        <w:gridCol w:w="505"/>
        <w:gridCol w:w="456"/>
        <w:gridCol w:w="1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2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51080022R000006838642-退休“中人”一次性补助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p>
        </w:tc>
        <w:tc>
          <w:tcPr>
            <w:tcW w:w="3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4.55</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4.55</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4.55</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0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结合自评情况，说明项目自评总分99分，</w:t>
            </w:r>
            <w:r>
              <w:rPr>
                <w:rFonts w:ascii="宋体" w:hAnsi="宋体" w:eastAsia="宋体" w:cs="宋体"/>
                <w:i w:val="0"/>
                <w:iCs w:val="0"/>
                <w:color w:val="000000"/>
                <w:kern w:val="0"/>
                <w:sz w:val="18"/>
                <w:szCs w:val="18"/>
                <w:u w:val="none"/>
                <w:lang w:val="en-US" w:eastAsia="zh-CN" w:bidi="ar"/>
              </w:rPr>
              <w:t>严格执行相关政策，保障工资及时发放、足额发放，预算编制科学合理，减少结余资金</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2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spacing w:line="600" w:lineRule="exact"/>
        <w:jc w:val="both"/>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rPr>
      </w:pPr>
    </w:p>
    <w:p>
      <w:pPr>
        <w:pStyle w:val="6"/>
        <w:spacing w:before="93"/>
        <w:rPr>
          <w:rFonts w:hint="default" w:eastAsia="黑体"/>
          <w:b/>
          <w:bCs/>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10</w:t>
      </w:r>
    </w:p>
    <w:tbl>
      <w:tblPr>
        <w:tblStyle w:val="12"/>
        <w:tblpPr w:leftFromText="180" w:rightFromText="180" w:vertAnchor="text" w:horzAnchor="page" w:tblpXSpec="center" w:tblpY="598"/>
        <w:tblOverlap w:val="never"/>
        <w:tblW w:w="117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2"/>
        <w:gridCol w:w="1217"/>
        <w:gridCol w:w="958"/>
        <w:gridCol w:w="1786"/>
        <w:gridCol w:w="504"/>
        <w:gridCol w:w="1116"/>
        <w:gridCol w:w="576"/>
        <w:gridCol w:w="846"/>
        <w:gridCol w:w="507"/>
        <w:gridCol w:w="585"/>
        <w:gridCol w:w="908"/>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17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95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文物保护经费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21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主管部门（盖章）</w:t>
            </w:r>
          </w:p>
        </w:tc>
        <w:tc>
          <w:tcPr>
            <w:tcW w:w="4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广元市文化广播电视和旅游局</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 （盖章）</w:t>
            </w:r>
          </w:p>
        </w:tc>
        <w:tc>
          <w:tcPr>
            <w:tcW w:w="38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广元市文化广播电视和旅游局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4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46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49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管理和指导全市文物保护利用工作，组织协调重大文物保护、考古项目的实施，组织开展文物资源调查和文物保护单位的遴选、申报工作，协调、指导和监督全市文物安全工作。</w:t>
            </w:r>
          </w:p>
        </w:tc>
        <w:tc>
          <w:tcPr>
            <w:tcW w:w="46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坚持新时代文物工作方针，加大文物保护力度，提升科学治理水平，强化文物研究阐释，推进文物有效利用，全年组织召开文物安全培训会1次，全覆盖开展市级及以上文物保护单位巡查检查（其中市级文物保护单位全覆盖巡查检查至少1次，省级文物保护单位全覆盖巡查检查至少2次，全国重点文物保护单位全覆盖巡查检查至少3次），开展在建文保项目检查4次，开展域内考古调查工作4次，组织国保、省保等单位向上申报项目11个，全年未发生文物安全重大事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95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坚持新时代文物工作方针，加大文物保护力度，提升科学治理水平，强化文物研究阐释，推进文物有效利用，全年组织召开文物安全培训会1次，全覆盖开展市级及以上文物保护单位巡查检查（其中市级文物保护单位全覆盖巡查检查至少1次，省级文物保护单位全覆盖巡查检查至少2次，全国重点文物保护单位全覆盖巡查检查至少3次），开展在建文保项目检查4次，开展域内考古调查工作4次，组织国保、省保等单位向上申报项目11个，全年未发生文物安全重大事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预算执行情况（10分）</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年度预算数（万元）</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在建项目检查</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全覆盖巡查全国重点文物保护单位</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文物安全培训会</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组织国保、省保单位向上申报项目</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考古调查</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开展域内考古调查工作</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培训全市文博从业人员</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组织国保、省保单位向上申报项目</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全覆盖巡查市级文物保护单位</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全覆盖巡查全国重点文物保护单位</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全覆盖巡查省级文物保护单位</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全覆盖巡查市级文物保护单位</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文物安全重大事故控制</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在建文保项目检查频次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文物安全巡查</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全覆盖巡查省级文物保护单位</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中华优秀传统文化不断发扬光大</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增加广元地区上级财政补助收入</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增强民族自尊和文化自信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文保单位满意度</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5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9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部门（单位）自评结论</w:t>
            </w:r>
          </w:p>
        </w:tc>
        <w:tc>
          <w:tcPr>
            <w:tcW w:w="10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部门（单位）自评存在问题</w:t>
            </w:r>
          </w:p>
        </w:tc>
        <w:tc>
          <w:tcPr>
            <w:tcW w:w="10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部门（单位）自评改进措施</w:t>
            </w:r>
          </w:p>
        </w:tc>
        <w:tc>
          <w:tcPr>
            <w:tcW w:w="10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财政部门对口科室复评结论及整改要求</w:t>
            </w:r>
          </w:p>
        </w:tc>
        <w:tc>
          <w:tcPr>
            <w:tcW w:w="108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4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单位项目负责人：</w:t>
            </w:r>
          </w:p>
        </w:tc>
        <w:tc>
          <w:tcPr>
            <w:tcW w:w="633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4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部门项目负责人：</w:t>
            </w:r>
          </w:p>
        </w:tc>
        <w:tc>
          <w:tcPr>
            <w:tcW w:w="633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17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财政部门科室负责人：</w:t>
            </w:r>
          </w:p>
        </w:tc>
      </w:tr>
    </w:tbl>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6"/>
        <w:spacing w:before="93"/>
        <w:rPr>
          <w:rFonts w:hint="default" w:ascii="黑体" w:hAnsi="黑体" w:eastAsia="黑体"/>
          <w:color w:val="auto"/>
          <w:sz w:val="44"/>
          <w:szCs w:val="44"/>
          <w:highlight w:val="none"/>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11</w:t>
      </w:r>
    </w:p>
    <w:tbl>
      <w:tblPr>
        <w:tblStyle w:val="12"/>
        <w:tblW w:w="106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1056"/>
        <w:gridCol w:w="1203"/>
        <w:gridCol w:w="1409"/>
        <w:gridCol w:w="519"/>
        <w:gridCol w:w="673"/>
        <w:gridCol w:w="519"/>
        <w:gridCol w:w="846"/>
        <w:gridCol w:w="774"/>
        <w:gridCol w:w="758"/>
        <w:gridCol w:w="1140"/>
        <w:gridCol w:w="1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70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部门预算、项目支出绩效目标自评表（2022年度）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89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市文旅局乡村振兴工作经费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主管部门（盖章）</w:t>
            </w:r>
          </w:p>
        </w:tc>
        <w:tc>
          <w:tcPr>
            <w:tcW w:w="43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广元市文化广播电视和旅游局</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 （盖章）</w:t>
            </w:r>
          </w:p>
        </w:tc>
        <w:tc>
          <w:tcPr>
            <w:tcW w:w="3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43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45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43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按要求开展驻村工作，加强村党组织，推进强村富民，提升治理水平，为民办事服务。</w:t>
            </w:r>
          </w:p>
        </w:tc>
        <w:tc>
          <w:tcPr>
            <w:tcW w:w="45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全面完成结对帮扶苍溪县3个脱贫村的乡村振兴工作任务。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891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是组建工作专班。选派优秀力量开展日常工作，结对帮扶苍溪县3个脱贫村。二是压实工作责任。召开了2022年乡村振兴专题工作会，根据《广元市2022年巩固拓展脱贫攻坚成果同乡村振兴有效衔接工作要点》和省文旅厅《文化旅游促进乡村振兴2022年工作方案》，制定了《广元市文化广播电视和旅游局2022年度乡村振兴工作要点》和《关于2022年度落实农业农村优先发展的工作计划》，明确工作任务，进一步压实责任，确保各项任务落地见效。三是加强过程监管。局乡村振兴工作领导小组每季度召开一次工作推进会，掌握工作推进情况，协调解决推进过程中存在的困难和问题，并实时将工作完成情况报局乡村振兴办。四是严格检查考核。将推进巩固拓展脱贫攻坚成果同乡村振兴有效衔工作情况，纳入科室、单位年度工作目标考核和干部平时、年度考核的重要内容，强化目标任务的督查督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预算执行情况（10分）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年度预算数（万元）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1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c>
          <w:tcPr>
            <w:tcW w:w="1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c>
          <w:tcPr>
            <w:tcW w:w="1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驻村个数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驻村人数</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人数</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驻村天数，每周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实施时间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生活工作经费</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巩固脱贫攻坚成果同乡村振兴有效衔接</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帮扶对象满意度指标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村民满意度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690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部门（单位）自评结论</w:t>
            </w:r>
          </w:p>
        </w:tc>
        <w:tc>
          <w:tcPr>
            <w:tcW w:w="998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部门（单位）自评存在问题</w:t>
            </w:r>
          </w:p>
        </w:tc>
        <w:tc>
          <w:tcPr>
            <w:tcW w:w="998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部门（单位）自评改进措施</w:t>
            </w:r>
          </w:p>
        </w:tc>
        <w:tc>
          <w:tcPr>
            <w:tcW w:w="998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财政部门对口科室复评结论及整改要求</w:t>
            </w:r>
          </w:p>
        </w:tc>
        <w:tc>
          <w:tcPr>
            <w:tcW w:w="998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单位项目负责人：</w:t>
            </w:r>
          </w:p>
        </w:tc>
        <w:tc>
          <w:tcPr>
            <w:tcW w:w="57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9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部门项目负责人：</w:t>
            </w:r>
          </w:p>
        </w:tc>
        <w:tc>
          <w:tcPr>
            <w:tcW w:w="57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70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财政部门科室负责人：</w:t>
            </w:r>
          </w:p>
        </w:tc>
      </w:tr>
    </w:tbl>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6"/>
        <w:spacing w:before="93"/>
        <w:rPr>
          <w:rFonts w:hint="default" w:ascii="黑体" w:hAnsi="黑体" w:eastAsia="黑体"/>
          <w:color w:val="auto"/>
          <w:sz w:val="44"/>
          <w:szCs w:val="44"/>
          <w:highlight w:val="none"/>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12</w:t>
      </w:r>
    </w:p>
    <w:tbl>
      <w:tblPr>
        <w:tblStyle w:val="12"/>
        <w:tblW w:w="10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1"/>
        <w:gridCol w:w="1259"/>
        <w:gridCol w:w="1019"/>
        <w:gridCol w:w="1289"/>
        <w:gridCol w:w="720"/>
        <w:gridCol w:w="721"/>
        <w:gridCol w:w="720"/>
        <w:gridCol w:w="1050"/>
        <w:gridCol w:w="721"/>
        <w:gridCol w:w="720"/>
        <w:gridCol w:w="720"/>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0388"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部门预算预算项目支出绩效目标自评表（2022年度）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981"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8407" w:type="dxa"/>
            <w:gridSpan w:val="10"/>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向上争取项目资金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主管部门（盖章）</w:t>
            </w:r>
          </w:p>
        </w:tc>
        <w:tc>
          <w:tcPr>
            <w:tcW w:w="4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广元市文化广播电视和旅游局</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 （盖章）</w:t>
            </w:r>
          </w:p>
        </w:tc>
        <w:tc>
          <w:tcPr>
            <w:tcW w:w="28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4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39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44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积极向中央、省级部门争取项目资金。</w:t>
            </w:r>
          </w:p>
        </w:tc>
        <w:tc>
          <w:tcPr>
            <w:tcW w:w="39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全年累计向中央、省级部门争取项目资金8359万元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840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全年累计向中央、省级部门争取项目资金8359万元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预算执行情况（10分）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年度预算数（万元）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向上争取项目资金较2021年增速</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向上争取资金统计报送及时率</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高中低</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主要领导对接省厅局次数</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主要领导对接国家部委次数</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向上争取项目资金</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增加广元地区财政收入</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带动广元经济发展</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促进广元文化广电旅游事业发展</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基层单位满意度</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5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部门（单位）自评结论</w:t>
            </w:r>
          </w:p>
        </w:tc>
        <w:tc>
          <w:tcPr>
            <w:tcW w:w="96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部门（单位）自评存在问题</w:t>
            </w:r>
          </w:p>
        </w:tc>
        <w:tc>
          <w:tcPr>
            <w:tcW w:w="96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部门（单位）自评改进措施</w:t>
            </w:r>
          </w:p>
        </w:tc>
        <w:tc>
          <w:tcPr>
            <w:tcW w:w="96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财政部门对口科室复评结论及整改要求</w:t>
            </w:r>
          </w:p>
        </w:tc>
        <w:tc>
          <w:tcPr>
            <w:tcW w:w="966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0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单位项目负责人：</w:t>
            </w:r>
          </w:p>
        </w:tc>
        <w:tc>
          <w:tcPr>
            <w:tcW w:w="537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部门项目负责人：</w:t>
            </w:r>
          </w:p>
        </w:tc>
        <w:tc>
          <w:tcPr>
            <w:tcW w:w="537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388"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财政部门科室负责人：</w:t>
            </w:r>
          </w:p>
        </w:tc>
      </w:tr>
    </w:tbl>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6"/>
        <w:spacing w:before="93"/>
        <w:rPr>
          <w:rFonts w:hint="default" w:ascii="黑体" w:hAnsi="黑体" w:eastAsia="黑体"/>
          <w:color w:val="auto"/>
          <w:sz w:val="44"/>
          <w:szCs w:val="44"/>
          <w:highlight w:val="none"/>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13</w:t>
      </w:r>
    </w:p>
    <w:p>
      <w:pPr>
        <w:rPr>
          <w:rFonts w:hint="eastAsia"/>
        </w:rPr>
      </w:pPr>
    </w:p>
    <w:tbl>
      <w:tblPr>
        <w:tblStyle w:val="12"/>
        <w:tblW w:w="109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5"/>
        <w:gridCol w:w="1035"/>
        <w:gridCol w:w="1035"/>
        <w:gridCol w:w="1035"/>
        <w:gridCol w:w="720"/>
        <w:gridCol w:w="780"/>
        <w:gridCol w:w="690"/>
        <w:gridCol w:w="885"/>
        <w:gridCol w:w="750"/>
        <w:gridCol w:w="1035"/>
        <w:gridCol w:w="1035"/>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1090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883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文化旅游产业发展工作经费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主管部门（盖章）</w:t>
            </w:r>
          </w:p>
        </w:tc>
        <w:tc>
          <w:tcPr>
            <w:tcW w:w="42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广元市文化广播电视和旅游局</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 （盖章）</w:t>
            </w:r>
          </w:p>
        </w:tc>
        <w:tc>
          <w:tcPr>
            <w:tcW w:w="36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42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42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推动全市重点文旅项目建设，培育规模以上文化及相关企业，积极开展文旅项目招商引资，搭建文旅政银企投资服务平台，促进文旅产业金融支撑向好发展，2，指导县区创建天府旅游名县、全域旅游示范区。3，配合市级各部门编制完善相关规划，指导县区编制完善相关规划。4,深化景区文旅融合，提升景区管理服务质量，推动景区提档升级。</w:t>
            </w: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推动全市重点文旅项目建设，培育规模以上文化及相关企业，积极开展文旅项目招商引资，搭建文旅政银企投资服务平台，促进文旅产业金融支撑向好发展，2，指导县区创建天府旅游名县、全域旅游示范区。3，配合市级各部门编制完善相关规划，指导县区编制完善相关规划。4,深化景区文旅融合，提升景区管理服务质量，推动景区提档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883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是天府旅游名县建设方面。指导青川县成功创建天府旅游命名县、利州成功创建天府旅游名县候选县。二是全域旅游示范区建设方面。指导昭化区成功创建为省级全域旅游示范区，剑阁县创建国家级全域旅游示范区通过省级检查。三是A级旅游景区管理和提升方面。聘请第三方机构对全市49个A级旅游景区开展年度复核，逐一反馈问题复核存在的问题，指导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年度预算数（万元）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纳入招商引资储备项目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争创天府旅游名县候选县指导县区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推进全市重点文旅项目建设</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争创省级全域旅游示范区指导县区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A级旅游景区质量提升指导推进</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指导研发地方特色文创产品</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招商引资签约项目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储备文旅项目投资总额同比增长</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A级旅游景区通过年度质量等级复核</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力争全省文创大赛获奖</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争创天府旅游名县指导县区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组织申报全省金融服务与文旅企业恳谈对接会</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培育规上文化及相关企业</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争创国家全域旅游示范区指导县区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举办或参加招商引资推介会</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提升全市文化旅游知名度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促进全市文化旅游产业发展</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进规模以上文化及其相关产业企业营业收入增长</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创建天府旅游名县命名县省级奖励增加地方财政收入</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规模以上文化及其相关产业企业满意度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文旅产业参与市场主体满意度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1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部门（单位）自评结论</w:t>
            </w:r>
          </w:p>
        </w:tc>
        <w:tc>
          <w:tcPr>
            <w:tcW w:w="98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2022年紧紧围绕市委、市政府工作大局，聚焦重点文旅项目建设、规上文化企业培育、品牌创建、产品质量提升等重点，扎实推进各项工作，圆满完成年度各项目标任务。自评得分100分。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部门（单位）自评存在问题</w:t>
            </w:r>
          </w:p>
        </w:tc>
        <w:tc>
          <w:tcPr>
            <w:tcW w:w="98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部门（单位）自评改进措施</w:t>
            </w:r>
          </w:p>
        </w:tc>
        <w:tc>
          <w:tcPr>
            <w:tcW w:w="98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财政部门对口科室复评结论及整改要求</w:t>
            </w:r>
          </w:p>
        </w:tc>
        <w:tc>
          <w:tcPr>
            <w:tcW w:w="98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单位项目负责人：</w:t>
            </w:r>
          </w:p>
        </w:tc>
        <w:tc>
          <w:tcPr>
            <w:tcW w:w="60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8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部门项目负责人：</w:t>
            </w:r>
          </w:p>
        </w:tc>
        <w:tc>
          <w:tcPr>
            <w:tcW w:w="60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90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财政部门科室负责人：</w:t>
            </w:r>
          </w:p>
        </w:tc>
      </w:tr>
    </w:tbl>
    <w:p>
      <w:pPr>
        <w:pStyle w:val="2"/>
        <w:rPr>
          <w:rFonts w:hint="eastAsia" w:ascii="黑体" w:hAnsi="黑体" w:eastAsia="黑体"/>
          <w:color w:val="auto"/>
          <w:sz w:val="44"/>
          <w:szCs w:val="44"/>
          <w:highlight w:val="none"/>
        </w:rPr>
      </w:pPr>
    </w:p>
    <w:p>
      <w:pPr>
        <w:rPr>
          <w:rFonts w:hint="eastAsia"/>
        </w:rPr>
      </w:pPr>
    </w:p>
    <w:p>
      <w:pPr>
        <w:pStyle w:val="2"/>
        <w:rPr>
          <w:rFonts w:hint="eastAsia"/>
        </w:rPr>
      </w:pPr>
    </w:p>
    <w:p>
      <w:pPr>
        <w:rPr>
          <w:rFonts w:hint="eastAsia"/>
        </w:rPr>
      </w:pPr>
    </w:p>
    <w:p>
      <w:pPr>
        <w:pStyle w:val="2"/>
        <w:rPr>
          <w:rFonts w:hint="eastAsia"/>
        </w:rPr>
      </w:pPr>
    </w:p>
    <w:p>
      <w:pPr>
        <w:pStyle w:val="6"/>
        <w:spacing w:before="93"/>
        <w:jc w:val="left"/>
        <w:rPr>
          <w:rFonts w:hint="eastAsia"/>
        </w:rPr>
      </w:pPr>
      <w:r>
        <w:rPr>
          <w:rFonts w:hint="eastAsia" w:ascii="黑体" w:hAnsi="黑体" w:eastAsia="黑体" w:cs="黑体"/>
          <w:sz w:val="32"/>
          <w:szCs w:val="32"/>
        </w:rPr>
        <w:t>附件</w:t>
      </w:r>
      <w:r>
        <w:rPr>
          <w:rFonts w:hint="eastAsia" w:ascii="黑体" w:hAnsi="黑体" w:eastAsia="黑体" w:cs="黑体"/>
          <w:sz w:val="32"/>
          <w:szCs w:val="32"/>
          <w:lang w:val="en-US" w:eastAsia="zh-CN"/>
        </w:rPr>
        <w:t>14</w:t>
      </w:r>
    </w:p>
    <w:tbl>
      <w:tblPr>
        <w:tblStyle w:val="12"/>
        <w:tblpPr w:leftFromText="180" w:rightFromText="180" w:vertAnchor="text" w:horzAnchor="page" w:tblpX="286" w:tblpY="655"/>
        <w:tblOverlap w:val="never"/>
        <w:tblW w:w="114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42"/>
        <w:gridCol w:w="834"/>
        <w:gridCol w:w="1144"/>
        <w:gridCol w:w="1144"/>
        <w:gridCol w:w="816"/>
        <w:gridCol w:w="893"/>
        <w:gridCol w:w="874"/>
        <w:gridCol w:w="846"/>
        <w:gridCol w:w="744"/>
        <w:gridCol w:w="862"/>
        <w:gridCol w:w="1022"/>
        <w:gridCol w:w="1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4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部门预算项目支出绩效目标自评表（2022年度）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94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文化旅游行业管理工作经费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主管部门（盖章）</w:t>
            </w:r>
          </w:p>
        </w:tc>
        <w:tc>
          <w:tcPr>
            <w:tcW w:w="49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广元市文化广播电视和旅游局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 （盖章）</w:t>
            </w:r>
          </w:p>
        </w:tc>
        <w:tc>
          <w:tcPr>
            <w:tcW w:w="38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49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45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49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扎牢安全生产责任体系，筑牢常态化疫情防线，维护文化旅游市场秩序，保障假日市场运行，努力提升文旅行业服务质量。</w:t>
            </w:r>
          </w:p>
        </w:tc>
        <w:tc>
          <w:tcPr>
            <w:tcW w:w="45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统筹安全与发展，文旅市场平稳有序。深入贯彻落实新《安全生产法》及安全生产“十五条硬措施”，制定了《广元市文化和旅游行业贯彻落实国务院安委会安全生产十五条措施的实施方案》，明确工作任务，落实工作责任，强化重点行业领域安全专项整治和监管执法，持续开展安全生产大检查和“打非治违”执法检查专项行动。截止11月，全市共派出340个检查小组，出动执法人员5742人次，检查企业2528家，发现事故隐患473项，已全部整改完成。落实常态化防控措施，制定了《文化旅游行业应对新冠肺炎疫情防控工作预案》，督促A级旅游景区、星级饭店、公共文化服务场所等严格执行疫情防控政策，杜绝疫情通过文旅活动传播。在疫情临时管控期间，组建疫情防控党员先锋队，参与老旧小区防疫工作500余人次，排查小区居民2000余户、协助开展核酸检测1万余人次。加快推进“一网通办”前提下的“最多跑一次”改革，截至目前共办理各类审批与服务事项共443件，均无超时、问责、曝光、投诉等问题。全面推行文化市场综合行政执法领域“三张清单”，探索施行“教育、服务、惩戒”相结合的行政执法新模式，联合市场监管局、市公安局、市消防救援支队开展9次“双随机一公开”联合执法行动，共出动49名执法人员，检查企业22家；开展日常巡查800余次，检查各类文化市场经营单位6000余家次，出动执法人员21000余人次，下达《责令改正通知书》34余份，行政约谈35家次，查处文化、旅游、体育等领域的案件32起，全力营造安全平稳有序的市场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946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开展“双随机一公开”执法检查。联合市场监管局、市公安局、市消防救援支队开展了11次“双随机一公开”联合执法行动，共出动49名执法人员，检查企业22家。二、开展“送培训到基层”全市旅游星级饭店服务技能培训活动，组织旅游行业服务技能专家到县区开展星级饭店服务技能实务培训，树立行业榜样，提升服务水平，全市共有400余名从业人员接受培训。三、完善2022年旅游抽样调查问卷信息迁移文旅部系统工作。四、创新开展“广元旅游名宿”“广元旅游名导”评选活动，通过县区遴选推荐，专家评选等环节，共评选出广元旅游名宿7家，广元旅游名导10人，激发市场主体提升服务质量和标准的积极性。五、为12家旅行社暂退质保金97万元，累计为全市19家旅行社暂退旅游服务保证金471万元。积极组织文旅企业申报省级纾困补助资金，为广元康辉旅行社、广元旅游集团运输有限公司2家企业向上争取纾困补助资金40万元。六、联合市委人才办、市人力资源社会保障局、市总工会、共青团广元市委、市妇联举办了广元市第九届职业技能竞赛暨广元市旅游饭店行业职业技能大赛。选拔出中餐服务、客房服务两个类别一等奖各1名，二等奖各2名，三等奖各3名，并推荐选手参加四川省星级饭店从业人员服务技能大赛，获得中餐服务三等奖。七、下沉文旅企业一线进行调研，精准帮助企业解决具体问题。会同市交通局等相关单位集中研究旅游交通竞争不充分，导致旅游交通服务收费高、质量不优、接待能力不足的问题。组织召开文旅企业优化营商环境座谈会，全市旅行社行业工作会，邀请税务局开展“纳税人学堂•文旅专场”专题解读辅导。召开全市服务支持重点企业发展座谈会，推动16家文旅企业与“广元造”企业签订战略合作协议。八、疫情期间，鼓励企业开展自救，摸排星级饭店旅客入住情况和酒店物资储备情况。解决和谐宾馆和汉庭酒店供餐物资缺乏问题，为企业提供生活物资采购等保供渠道，第一时间帮助企业解难纾困。九、检查全市文旅企业包含A级景区、旅游星级饭店、旅行社、网吧、演出市场、娱乐场所、艺术品经营单位、电子游艺场所等16个类别700余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预算执行情况（10分）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年度预算数（万元）</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指导督促旅行社类市场主体开展安全生产、疫情防控、市场整治</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开展“双随机一公开”联合检查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特殊时期应急值班</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全天</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24小时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全天</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旅游统计抽样调查问卷</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份</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安全隐患整改销号率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安全生产应急演练参演人次</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游统计抽样调查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开展安全生产应急演练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指导督促A级旅游景区开展安全生产、疫情防控、市场整治</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申报指标数据不准确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指导督促娱乐场所类市场主体开展安全生产、疫情防控、市场整治</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开展“双随机一公开”专项检查</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组织参加国家级省级行业技能服务大赛</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因疫情原因国家级行业技能服务大赛延迟至今年举行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指导督促旅游住宿类市场主体开展安全生产、疫情防控、市场整治</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促进景区环境优化美化亮化</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促进文化旅游服务业就业带动效益</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保障文旅市场安全稳定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促进文旅行业经济健康发展</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市场主体满意度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游客满意度提升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65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部门（单位）自评结论</w:t>
            </w:r>
          </w:p>
        </w:tc>
        <w:tc>
          <w:tcPr>
            <w:tcW w:w="103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自评得分96.5分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部门（单位）自评存在问题</w:t>
            </w:r>
          </w:p>
        </w:tc>
        <w:tc>
          <w:tcPr>
            <w:tcW w:w="103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申报指标编制不科学，主要因为一是市场主体的数量属于动态变化的；二是上级部门组织赛事非我局所能控制，需要科学编制申报指标。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部门（单位）自评改进措施</w:t>
            </w:r>
          </w:p>
        </w:tc>
        <w:tc>
          <w:tcPr>
            <w:tcW w:w="103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下一步要总结梳理文化旅游行业管理核心指标体系，科学申报绩效目标。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财政部门对口科室复评结论及整改要求</w:t>
            </w:r>
          </w:p>
        </w:tc>
        <w:tc>
          <w:tcPr>
            <w:tcW w:w="103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单位项目负责人：</w:t>
            </w:r>
          </w:p>
        </w:tc>
        <w:tc>
          <w:tcPr>
            <w:tcW w:w="63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部门项目负责人：</w:t>
            </w:r>
          </w:p>
        </w:tc>
        <w:tc>
          <w:tcPr>
            <w:tcW w:w="633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4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财政部门科室负责人：</w:t>
            </w:r>
          </w:p>
        </w:tc>
      </w:tr>
    </w:tbl>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rPr>
      </w:pPr>
    </w:p>
    <w:p>
      <w:pPr>
        <w:pStyle w:val="2"/>
        <w:rPr>
          <w:rFonts w:hint="eastAsia"/>
        </w:rPr>
      </w:pPr>
    </w:p>
    <w:p>
      <w:pPr>
        <w:pStyle w:val="6"/>
        <w:spacing w:before="93"/>
        <w:jc w:val="left"/>
        <w:rPr>
          <w:rFonts w:hint="default" w:ascii="黑体" w:hAnsi="黑体" w:eastAsia="黑体"/>
          <w:color w:val="auto"/>
          <w:sz w:val="44"/>
          <w:szCs w:val="44"/>
          <w:highlight w:val="none"/>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15</w:t>
      </w:r>
    </w:p>
    <w:tbl>
      <w:tblPr>
        <w:tblStyle w:val="12"/>
        <w:tblpPr w:leftFromText="180" w:rightFromText="180" w:vertAnchor="text" w:horzAnchor="page" w:tblpX="249" w:tblpY="662"/>
        <w:tblOverlap w:val="never"/>
        <w:tblW w:w="117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31"/>
        <w:gridCol w:w="1032"/>
        <w:gridCol w:w="1032"/>
        <w:gridCol w:w="1032"/>
        <w:gridCol w:w="1031"/>
        <w:gridCol w:w="1033"/>
        <w:gridCol w:w="867"/>
        <w:gridCol w:w="846"/>
        <w:gridCol w:w="748"/>
        <w:gridCol w:w="1031"/>
        <w:gridCol w:w="1031"/>
        <w:gridCol w:w="1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174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部门预算预算项目支出绩效目标自评表（2022年度）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96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公共文化服务体系建设工作经费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主管部门（盖章）</w:t>
            </w:r>
          </w:p>
        </w:tc>
        <w:tc>
          <w:tcPr>
            <w:tcW w:w="5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广元市文化广播电视和旅游局</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 （盖章）</w:t>
            </w:r>
          </w:p>
        </w:tc>
        <w:tc>
          <w:tcPr>
            <w:tcW w:w="38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5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46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0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加大文艺精品创作，广泛开展各类文化活动。2.完善公共文化设施网络，提升公共文化服务效能，加强公共文化服务供给能力。3.优化全市非遗名录体系建设，加大非遗保护宣传展示展演，推动非遗融入现代生活。</w:t>
            </w:r>
          </w:p>
        </w:tc>
        <w:tc>
          <w:tcPr>
            <w:tcW w:w="46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是补短板强弱项。对全市基层公共文化设施建管用情况进行实地调研，进一步摸清家底现状；及时梳理短板弱项，制定《评估定级“补短板”工作的实施方案》，开展公共图书馆评估定级。成立工作领导小组，确定目标任务，细化责任分工，明确时间节点，有序推进各项工作，全市8个公共图书馆完成已完成网络平台数据填报和实地检查，正在等待结果。二是保民生夯基础。多形式多渠道开展《四川省公共文化服务保障条例》学习宣传贯彻；全面落实国家和四川省基本公共文化服务标准，联合市发展改革委等17部门出台《广元市公共服务标准》（2022年版），明确了公共文化设施免费开放、送戏曲下乡、收听广播、观看电视、读书看报、少数民族文化服务等6项基本公共文化服务项目的服务对象、服务内容、服务标准和支出责任。严格落实“五馆一站”免费开放。充分发挥“五馆一站”在群众文化生活中的主阵地作用，积极开展各类展览、公益培训等基本公共文化服务项目，免费开放率达100%。三是创品牌强引领。开展以线上为主、内容丰富、形式多样的阅读推广活动110余场次，5个项目上榜2022年文旅公共服务高质量发展“四个一批”，持续推动公共文化服务社会化，全年7个项目共获得资金补助240万元。持续优化文旅志愿服务组织结构，广泛招募吸纳文旅志愿者参与公共文化服务。市图书馆暑期面向学生招募图书借还、书架整理、疫情防控等志愿者，为未成年人拓展校外实践提供了场所和岗位。市文化馆持续19年的“有爱·无碍”文旅志愿服务项目荣获第六届中国青年志愿服务项目大赛四川省赛金奖和全国赛银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967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短板强弱项，持续优化服务网络；保民生夯基础，有效提升服务质效；创品牌强引领，不断优化产品供给。指导市广播电视文化生活频道进行了高清升级改造，维修维护铁塔6座，修复塔基1处，更换了过期、临期灭火器60余具，新增、更换、维修监控摄像头30余个，UPS电池15余组，添置空调5台、节目监看大屏1个，监看电视机1台，发电机1台，网络环网改线20余公里，更换其他备品备件10余台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预算执行情况（10分）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年度预算数（万元）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指导督促公共图书馆完成第七次县级以上公共图书馆评估定级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指导全市全年新创、改编艺术作品</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评定第七批市级非遗项目</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指导市非遗中心、各县区开展非遗进景区、进校园等宣传展示活动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监督指导民生实事全市广播电视户户通工程运行维护数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14808</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无延时准时转播上级广播电视台重要节目</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优良中低差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完成省下广播电视节目创作任务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免费开放服务人次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万人次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200万人次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广播电视安全播出重大事故控制</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指导开展文化活动（品牌活动、节庆活动）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指导督促新建旅游厕所</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组织优秀文艺作品参加国家、省级文化艺术赛事活动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指导督促完成2022年民生实事公共文化场馆免费开放</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指导督促改建旅游厕所</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座</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16座</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申报第六批省级非遗项目</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促进全市公共文化服务体系繁荣发展，提升广元影响力和知名度，丰富人民群众精神文化生活</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发挥广播在疫情防控、森林防灭火、防汛减灾、政策宣讲、民风培育的巨大作用</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优</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基层单位满意度</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9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部门（单位）自评结论</w:t>
            </w:r>
          </w:p>
        </w:tc>
        <w:tc>
          <w:tcPr>
            <w:tcW w:w="1071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我市广电战线坚持以习近平新时代中国特色社会主义思想为指导，深入学习贯彻党的二十大精神，紧紧围绕市委、市政府工作大局，聚焦安全播出、精品节目创作、重大主题宣传、公服体系提升、规范行业管理等重点，扎实推进广播电视各项工作，圆满完成年度各项目标任务。同时，把公共文化服务保障工作纳入“十四五”规划和重大民生工程，作为文明城市创建和年度目标考核的重要内容。全市规范建设文化馆、图书馆各8个，美术馆5个、博物馆（纪念馆）10个、乡镇文化站198个、村级文化服务中心1731个，市县乡村四级公共文化服务网络基本健全。全面落实国家和四川省基本公共服务标准，出台《广元市基本公共服务标准》（2022年版）。严格落实“五馆一站”免费开放，年服务约200万人次。“有爱·无碍”特殊群体文旅志愿服务项目荣获第六届中国青年志愿服务项目大赛全国银奖和四川省金奖。10余个项目入选2022四川省文旅公共服务高质量发展“四个一批”和政府向社会力量购买公共文化服务试点（示范）项目。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部门（单位）自评存在问题</w:t>
            </w:r>
          </w:p>
        </w:tc>
        <w:tc>
          <w:tcPr>
            <w:tcW w:w="1071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部门（单位）自评改进措施</w:t>
            </w:r>
          </w:p>
        </w:tc>
        <w:tc>
          <w:tcPr>
            <w:tcW w:w="1071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财政部门对口科室复评结论及整改要求</w:t>
            </w:r>
          </w:p>
        </w:tc>
        <w:tc>
          <w:tcPr>
            <w:tcW w:w="1071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单位项目负责人：</w:t>
            </w:r>
          </w:p>
        </w:tc>
        <w:tc>
          <w:tcPr>
            <w:tcW w:w="65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1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部门项目负责人：</w:t>
            </w:r>
          </w:p>
        </w:tc>
        <w:tc>
          <w:tcPr>
            <w:tcW w:w="657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4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财政部门科室负责人：</w:t>
            </w:r>
          </w:p>
        </w:tc>
      </w:tr>
    </w:tbl>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6"/>
        <w:spacing w:before="93"/>
        <w:jc w:val="left"/>
        <w:rPr>
          <w:rFonts w:hint="default" w:ascii="黑体" w:hAnsi="黑体" w:eastAsia="黑体"/>
          <w:color w:val="auto"/>
          <w:sz w:val="44"/>
          <w:szCs w:val="44"/>
          <w:highlight w:val="none"/>
          <w:lang w:val="en-US"/>
        </w:rPr>
      </w:pPr>
    </w:p>
    <w:p>
      <w:pPr>
        <w:pStyle w:val="6"/>
        <w:spacing w:before="93"/>
        <w:jc w:val="left"/>
        <w:rPr>
          <w:rFonts w:hint="default" w:ascii="黑体" w:hAnsi="黑体" w:eastAsia="黑体"/>
          <w:color w:val="auto"/>
          <w:sz w:val="44"/>
          <w:szCs w:val="44"/>
          <w:highlight w:val="none"/>
          <w:lang w:val="en-US"/>
        </w:rPr>
      </w:pPr>
    </w:p>
    <w:p>
      <w:pPr>
        <w:pStyle w:val="6"/>
        <w:spacing w:before="93"/>
        <w:jc w:val="left"/>
        <w:rPr>
          <w:rFonts w:hint="eastAsia" w:ascii="黑体" w:hAnsi="黑体" w:eastAsia="黑体" w:cs="黑体"/>
          <w:sz w:val="32"/>
          <w:szCs w:val="32"/>
        </w:rPr>
      </w:pPr>
    </w:p>
    <w:p>
      <w:pPr>
        <w:pStyle w:val="6"/>
        <w:spacing w:before="93"/>
        <w:jc w:val="left"/>
        <w:rPr>
          <w:rFonts w:hint="default"/>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16</w:t>
      </w:r>
    </w:p>
    <w:tbl>
      <w:tblPr>
        <w:tblStyle w:val="12"/>
        <w:tblpPr w:leftFromText="180" w:rightFromText="180" w:vertAnchor="text" w:horzAnchor="page" w:tblpX="209" w:tblpY="1240"/>
        <w:tblOverlap w:val="never"/>
        <w:tblW w:w="11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9"/>
        <w:gridCol w:w="1116"/>
        <w:gridCol w:w="955"/>
        <w:gridCol w:w="955"/>
        <w:gridCol w:w="949"/>
        <w:gridCol w:w="1116"/>
        <w:gridCol w:w="937"/>
        <w:gridCol w:w="967"/>
        <w:gridCol w:w="943"/>
        <w:gridCol w:w="937"/>
        <w:gridCol w:w="938"/>
        <w:gridCol w:w="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17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963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文化旅游宣传推广工作经费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主管部门（盖章）</w:t>
            </w:r>
          </w:p>
        </w:tc>
        <w:tc>
          <w:tcPr>
            <w:tcW w:w="49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广元市文化广播电视和旅游局</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 （盖章）</w:t>
            </w:r>
          </w:p>
        </w:tc>
        <w:tc>
          <w:tcPr>
            <w:tcW w:w="37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49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47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49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1，强化目的地市场宣传营销，多维度拓展文旅宣传推广，着力区域合作，实现协同发展；2，开展航线城市营销，协调航线时刻，培育优化已开通航线。</w:t>
            </w:r>
          </w:p>
        </w:tc>
        <w:tc>
          <w:tcPr>
            <w:tcW w:w="47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一是“两节”活动成功举办。二是春节期间开的展“安逸走四川过年到广元十万张景区门票欢乐送”系列活动引爆全网。三是“安逸走四川·康养到广元”康养体验旅游团为广元代言。四是“中国旅游日”系列宣传活动为广元“造势”。五是精心策划多项活动为广元“引流”。六是指导各县区开展主题游活动带广元文旅“出圈”。七是主动融入成渝地区双城经济圈建设，实施了“川渝一家亲—景区惠民游”政策，杭广协作进一步深化。2，开展航线城市营销，协调航线时刻，培育优化已开通的</w:t>
            </w:r>
            <w:r>
              <w:rPr>
                <w:rStyle w:val="30"/>
                <w:lang w:val="en-US" w:eastAsia="zh-CN" w:bidi="ar"/>
              </w:rPr>
              <w:t>12条</w:t>
            </w:r>
            <w:r>
              <w:rPr>
                <w:rStyle w:val="31"/>
                <w:lang w:val="en-US" w:eastAsia="zh-CN" w:bidi="ar"/>
              </w:rPr>
              <w:t>航线。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963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一是“两节”活动成功举办。二是春节期间开的展“安逸走四川过年到广元十万张景区门票欢乐送”系列活动引爆全网。三是“安逸走四川·康养到广元”康养体验旅游团为广元代言。四是“中国旅游日”系列宣传活动为广元“造势”。五是精心策划多项活动为广元“引流”。六是指导各县区开展主题游活动带广元文旅“出圈”。七是主动融入成渝地区双城经济圈建设，实施了“川渝一家亲—景区惠民游”政策，杭广协作进一步深化。2，开展航线城市营销，协调航线时刻，培育优化已开通的12条航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预算执行情况（10分）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年度预算数（万元）</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3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16.41</w:t>
            </w:r>
          </w:p>
        </w:tc>
        <w:tc>
          <w:tcPr>
            <w:tcW w:w="3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16.41</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16.41</w:t>
            </w:r>
          </w:p>
        </w:tc>
        <w:tc>
          <w:tcPr>
            <w:tcW w:w="3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开展客源地宣传推广</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开展目的地宣传推广</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参加国家、省级文化旅游会展宣传</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开展区域合作宣传</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培育优化已开通航线</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减少航线轧差财政投入</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支持建设四川北向东出桥头堡交通枢纽</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提升广元中国生态康养旅游名市知名度</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促进广元文旅经济增收</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旅客满意度</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部门（单位）自评结论</w:t>
            </w:r>
          </w:p>
        </w:tc>
        <w:tc>
          <w:tcPr>
            <w:tcW w:w="1075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部门（单位）自评存在问题</w:t>
            </w:r>
          </w:p>
        </w:tc>
        <w:tc>
          <w:tcPr>
            <w:tcW w:w="1075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部门（单位）自评改进措施</w:t>
            </w:r>
          </w:p>
        </w:tc>
        <w:tc>
          <w:tcPr>
            <w:tcW w:w="1075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财政部门对口科室复评结论及整改要求</w:t>
            </w:r>
          </w:p>
        </w:tc>
        <w:tc>
          <w:tcPr>
            <w:tcW w:w="1075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单位项目负责人：</w:t>
            </w:r>
          </w:p>
        </w:tc>
        <w:tc>
          <w:tcPr>
            <w:tcW w:w="677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部门项目负责人：</w:t>
            </w:r>
          </w:p>
        </w:tc>
        <w:tc>
          <w:tcPr>
            <w:tcW w:w="677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7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18"/>
                <w:szCs w:val="18"/>
                <w:u w:val="none"/>
                <w:lang w:val="en-US" w:eastAsia="zh-CN" w:bidi="ar"/>
              </w:rPr>
              <w:t>财政部门科室负责人：</w:t>
            </w:r>
          </w:p>
        </w:tc>
      </w:tr>
    </w:tbl>
    <w:p>
      <w:pPr>
        <w:pStyle w:val="6"/>
        <w:spacing w:before="93"/>
        <w:rPr>
          <w:rFonts w:hint="eastAsia" w:ascii="黑体" w:hAnsi="黑体" w:eastAsia="黑体"/>
          <w:color w:val="auto"/>
          <w:sz w:val="44"/>
          <w:szCs w:val="44"/>
          <w:highlight w:val="none"/>
        </w:rPr>
      </w:pPr>
    </w:p>
    <w:p>
      <w:pPr>
        <w:pStyle w:val="2"/>
        <w:jc w:val="both"/>
        <w:rPr>
          <w:rFonts w:hint="eastAsia"/>
        </w:rPr>
      </w:pPr>
    </w:p>
    <w:p>
      <w:pPr>
        <w:pStyle w:val="2"/>
        <w:jc w:val="both"/>
        <w:rPr>
          <w:rFonts w:hint="eastAsia"/>
        </w:rPr>
      </w:pPr>
    </w:p>
    <w:p>
      <w:pPr>
        <w:pStyle w:val="6"/>
        <w:spacing w:before="93"/>
        <w:rPr>
          <w:rFonts w:hint="default"/>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17</w:t>
      </w:r>
    </w:p>
    <w:tbl>
      <w:tblPr>
        <w:tblStyle w:val="12"/>
        <w:tblpPr w:leftFromText="180" w:rightFromText="180" w:vertAnchor="text" w:horzAnchor="page" w:tblpX="1011" w:tblpY="652"/>
        <w:tblOverlap w:val="never"/>
        <w:tblW w:w="100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4"/>
        <w:gridCol w:w="1116"/>
        <w:gridCol w:w="1836"/>
        <w:gridCol w:w="797"/>
        <w:gridCol w:w="576"/>
        <w:gridCol w:w="1116"/>
        <w:gridCol w:w="602"/>
        <w:gridCol w:w="985"/>
        <w:gridCol w:w="555"/>
        <w:gridCol w:w="527"/>
        <w:gridCol w:w="618"/>
        <w:gridCol w:w="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005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82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非物质文化遗产文创产品研发推广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主管部门（盖章）</w:t>
            </w:r>
          </w:p>
        </w:tc>
        <w:tc>
          <w:tcPr>
            <w:tcW w:w="49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广元市文化广播电视和旅游局</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 （盖章）</w:t>
            </w:r>
          </w:p>
        </w:tc>
        <w:tc>
          <w:tcPr>
            <w:tcW w:w="23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广元市文化广播电视和旅游局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49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33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49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围绕非遗项目开展文创产品的设计、研发、制作和推广工作，通过一系列非物质文化遗产文创产品的研发推广，让我市特色非遗项目“活起来”“火起来”，推动文旅产业发展和文旅消费升级，助力乡村振兴、文旅融合，逐渐形成新的经济增长点，推动我市非遗创造性转化和创新性发展，营造全社会共同参与、关注和保护传承优秀传统文化的浓厚氛围，更好地满足人民群众美好生活新需求，不断提升“剑门蜀道、女皇故里”品牌美誉度和影响力，促进文化旅游深度融合，推动文旅经济高质量发展。</w:t>
            </w:r>
          </w:p>
        </w:tc>
        <w:tc>
          <w:tcPr>
            <w:tcW w:w="33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围绕省级非遗项目“广元窑陶瓷烧制技艺”开展广元窑陶瓷烧制技艺恢复、系列文创产品的设计、研发、制作和宣传推广工作，让我市特色非遗项目“活起来”“活起来”，推动文旅产业发展和文旅消费升级，助力乡村振兴、文旅融合，推动我市非遗创造性转化和创新性发展。全年完成“广元窑”文创产品的设计、研发、制作50件（套），组织开展“广元窑”文创产品宣传推广、展示展销活动3场，共吸引上千游客参会，在《收藏》、广元日报等媒体宣传报道3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82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8月2日，在中国政府采购网、中国政府购买服务信息平台上发布“广元市非物质文化遗产文创产品研发推广项目单一来源采购公告”；2022年8月10日，组织市市场监管局、市公共资源交易中心、市文化广电旅游局对项目进行评审采购，2022年9月8日与广元窑陶瓷研究院签订单一采购合同。2022年12月31日前，合同约定所有服务内容和质量标准均完成和达到预期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预算执行情况（10分）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年度预算数（万元）</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25.00</w:t>
            </w: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2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设计非物质文化遗产文创产品</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围绕设计内容生产研发非物质文化遗产文创产品</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围绕非物质文化遗产文创产品开展宣传展示展销活动</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邀请媒体宣传报道</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制作宣传展板、印制宣传资料</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份</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项目完成时间</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2022年12月31日</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围绕非物质文化遗产文创产品开展宣传展示展销活动，邀请主流媒体报道，参与活动群众游客</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设计、研发、制作非物质文化遗产文创产品，艺术性、实用性和创意性相结合</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良好</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更好地满足人民群众美好生活新需求</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73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部门（单位）自评结论</w:t>
            </w:r>
          </w:p>
        </w:tc>
        <w:tc>
          <w:tcPr>
            <w:tcW w:w="934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决策符合国家政策方针，管理符合相关制度，运行维护项目的实施达到了预期的社会效益，在规定时间内较好的完成了所有既定目标。通过项目的实施不仅完成了“广元窑”陶瓷烧制技术的恢复，还开发了系列文创产品，很好的推动我市非遗创造性转化和创新性发展，通过系列活动的举办和媒体宣传报道，让更多市民了解了广元非遗，真正让非遗产品“活起来”“火起来”。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部门（单位）自评存在问题</w:t>
            </w:r>
          </w:p>
        </w:tc>
        <w:tc>
          <w:tcPr>
            <w:tcW w:w="934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部门（单位）自评改进措施</w:t>
            </w:r>
          </w:p>
        </w:tc>
        <w:tc>
          <w:tcPr>
            <w:tcW w:w="934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财政部门对口科室复评结论及整改要求</w:t>
            </w:r>
          </w:p>
        </w:tc>
        <w:tc>
          <w:tcPr>
            <w:tcW w:w="934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单位项目负责人：</w:t>
            </w:r>
          </w:p>
        </w:tc>
        <w:tc>
          <w:tcPr>
            <w:tcW w:w="50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02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部门项目负责人：</w:t>
            </w:r>
          </w:p>
        </w:tc>
        <w:tc>
          <w:tcPr>
            <w:tcW w:w="50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05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财政部门科室负责人：</w:t>
            </w:r>
          </w:p>
        </w:tc>
      </w:tr>
    </w:tbl>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6"/>
        <w:spacing w:before="93"/>
        <w:rPr>
          <w:rFonts w:hint="default" w:ascii="黑体" w:hAnsi="黑体" w:eastAsia="黑体"/>
          <w:color w:val="auto"/>
          <w:sz w:val="44"/>
          <w:szCs w:val="44"/>
          <w:highlight w:val="none"/>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18</w:t>
      </w:r>
    </w:p>
    <w:tbl>
      <w:tblPr>
        <w:tblStyle w:val="12"/>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1334"/>
        <w:gridCol w:w="930"/>
        <w:gridCol w:w="1619"/>
        <w:gridCol w:w="521"/>
        <w:gridCol w:w="1199"/>
        <w:gridCol w:w="521"/>
        <w:gridCol w:w="1091"/>
        <w:gridCol w:w="505"/>
        <w:gridCol w:w="456"/>
        <w:gridCol w:w="1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02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51080022T000005197233-职称评审费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开展职称评审一次</w:t>
            </w:r>
          </w:p>
        </w:tc>
        <w:tc>
          <w:tcPr>
            <w:tcW w:w="3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0.60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职称评审活动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职称评审规范</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专家满意度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80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结合自评情况，说明项目自评总分99分，</w:t>
            </w:r>
            <w:r>
              <w:rPr>
                <w:rFonts w:ascii="宋体" w:hAnsi="宋体" w:eastAsia="宋体" w:cs="宋体"/>
                <w:i w:val="0"/>
                <w:iCs w:val="0"/>
                <w:color w:val="000000"/>
                <w:kern w:val="0"/>
                <w:sz w:val="18"/>
                <w:szCs w:val="18"/>
                <w:u w:val="none"/>
                <w:lang w:val="en-US" w:eastAsia="zh-CN" w:bidi="ar"/>
              </w:rPr>
              <w:t>严格执行相关政策，开展职称评审，预算编制科学合理</w:t>
            </w:r>
            <w:r>
              <w:rPr>
                <w:rFonts w:hint="eastAsia" w:ascii="宋体" w:hAnsi="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2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2"/>
        <w:rPr>
          <w:rFonts w:hint="eastAsia"/>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rPr>
      </w:pPr>
    </w:p>
    <w:p>
      <w:pPr>
        <w:pStyle w:val="6"/>
        <w:spacing w:before="93"/>
        <w:rPr>
          <w:rFonts w:hint="default" w:ascii="黑体" w:hAnsi="黑体" w:eastAsia="黑体"/>
          <w:color w:val="auto"/>
          <w:sz w:val="44"/>
          <w:szCs w:val="44"/>
          <w:highlight w:val="none"/>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19</w:t>
      </w:r>
    </w:p>
    <w:tbl>
      <w:tblPr>
        <w:tblStyle w:val="12"/>
        <w:tblW w:w="9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9"/>
        <w:gridCol w:w="830"/>
        <w:gridCol w:w="830"/>
        <w:gridCol w:w="830"/>
        <w:gridCol w:w="830"/>
        <w:gridCol w:w="830"/>
        <w:gridCol w:w="830"/>
        <w:gridCol w:w="831"/>
        <w:gridCol w:w="830"/>
        <w:gridCol w:w="830"/>
        <w:gridCol w:w="830"/>
        <w:gridCol w:w="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jc w:val="center"/>
        </w:trPr>
        <w:tc>
          <w:tcPr>
            <w:tcW w:w="997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8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中央文化人才专项经费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1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主管部门（盖章）</w:t>
            </w:r>
          </w:p>
        </w:tc>
        <w:tc>
          <w:tcPr>
            <w:tcW w:w="41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广元市文化广播电视和旅游局</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 （盖章）</w:t>
            </w:r>
          </w:p>
        </w:tc>
        <w:tc>
          <w:tcPr>
            <w:tcW w:w="33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41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41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41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开展“三区计划”文旅人才选派（招募）服务；开展文旅人才培育。</w:t>
            </w:r>
          </w:p>
        </w:tc>
        <w:tc>
          <w:tcPr>
            <w:tcW w:w="41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度文旅工作者服务支持艰苦边远地区和基层一线专项工作，我局严格按照省厅以及市委、市政府的相关规定执行该项目，制定切实可行的实施方案，对所选派“三区”文化工作者严格考核管理，项目实施进展顺利圆满，获得了良好的社会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jc w:val="center"/>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8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四川省文化和旅游厅关于印发&lt;四川省2022年度文旅工作者服务支持艰苦边远地区和基层一线专项实施工作方案&gt;的通知》（川文旅字〔2022〕119号）精神，结合实际,我市共实施中央文化人才专项经费项目5个,即:“红色旅游”人才支持项目、“两项改革”涉改乡镇“文旅能人”扶持项目、“文旅资源开发”人才支持项目、自主招募项目、“广元市文旅体融合发展专题培训班”脱产培训项目。各县区局根据实际，制定2022年度“三区计划”文旅人才选派（招募）服务项目实施方案，报市局审核后实施，市局派人员参与选派（招募）过程；选派（招募）单位、受援单位、和拟选派（招募）的文旅工作者共同签订《四川省文旅工作者服务支持艰苦边远地区和基层一线专项服务协议书》《四川省文旅工作者服务支持艰苦边远地区和基层一线专项安全健康责任书》，并通过“三区人才”专项平台上传备案；各县区局要跟踪掌握实施情况，从受援单位以及被选派（招募）的文旅工作者角度，结合服务对象评价，对各个项目进行总结与考核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预算执行情况（10分）</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年度预算数（万元）</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71.60</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71.60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92.99%</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因疫情原因，专题培训推迟到2023年开展。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71.60</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71.60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92.99%</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“红色旅游”人才支持选派人数</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“两项改革”涉改乡镇“文旅能人”扶持选派人数</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“文旅资源开发”人才支持选派人数</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自主招募人数</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“广元市文旅体融合发展专题培训班”培训人数</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“广元市文旅体融合发展专题培训班”培训天数</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选派人员考核合格率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选派人员服务期限</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支持艰苦边远地区和基层一线文旅工作"</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支持乡村振兴重点帮扶县文化旅游发展</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提升文旅服务能力和水平</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培训学员满意度</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接收选派人才的单位满意度</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6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部门（单位）自评结论</w:t>
            </w:r>
          </w:p>
        </w:tc>
        <w:tc>
          <w:tcPr>
            <w:tcW w:w="914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金使用安全、合规合法，与预算相符。财务管理制度健全有效，拨款和使用审批程序合规，账务处理及时，会计核算规范。项目选派专业文化工作者按照合同规定以及相关要求完成任务后，由各县区文化旅游和体育局审核督查，严格按照国家财政部、省文旅厅有关专项资金管理规定，专款专用、无违规、闲置等情况。自评得分99.3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部门（单位）自评存在问题</w:t>
            </w:r>
          </w:p>
        </w:tc>
        <w:tc>
          <w:tcPr>
            <w:tcW w:w="914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部门（单位）自评改进措施</w:t>
            </w:r>
          </w:p>
        </w:tc>
        <w:tc>
          <w:tcPr>
            <w:tcW w:w="914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财政部门对口科室复评结论及整改要求</w:t>
            </w:r>
          </w:p>
        </w:tc>
        <w:tc>
          <w:tcPr>
            <w:tcW w:w="914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1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单位项目负责人：</w:t>
            </w:r>
          </w:p>
        </w:tc>
        <w:tc>
          <w:tcPr>
            <w:tcW w:w="58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1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部门项目负责人：</w:t>
            </w:r>
          </w:p>
        </w:tc>
        <w:tc>
          <w:tcPr>
            <w:tcW w:w="58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97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财政部门科室负责人：</w:t>
            </w:r>
          </w:p>
        </w:tc>
      </w:tr>
    </w:tbl>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6"/>
        <w:spacing w:before="93"/>
        <w:rPr>
          <w:rFonts w:hint="default" w:ascii="黑体" w:hAnsi="黑体" w:eastAsia="黑体"/>
          <w:color w:val="auto"/>
          <w:sz w:val="44"/>
          <w:szCs w:val="44"/>
          <w:highlight w:val="none"/>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20</w:t>
      </w:r>
    </w:p>
    <w:tbl>
      <w:tblPr>
        <w:tblStyle w:val="12"/>
        <w:tblpPr w:leftFromText="180" w:rightFromText="180" w:vertAnchor="text" w:horzAnchor="page" w:tblpX="226" w:tblpY="659"/>
        <w:tblOverlap w:val="never"/>
        <w:tblW w:w="111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5"/>
        <w:gridCol w:w="915"/>
        <w:gridCol w:w="915"/>
        <w:gridCol w:w="915"/>
        <w:gridCol w:w="795"/>
        <w:gridCol w:w="915"/>
        <w:gridCol w:w="915"/>
        <w:gridCol w:w="1245"/>
        <w:gridCol w:w="915"/>
        <w:gridCol w:w="915"/>
        <w:gridCol w:w="915"/>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1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文化艺术中心维修项目项目支出绩效目标自评表（2022年度）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93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文化艺术中心维修项目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主管部门（盖章）</w:t>
            </w:r>
          </w:p>
        </w:tc>
        <w:tc>
          <w:tcPr>
            <w:tcW w:w="44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广元市文化广播电视和旅游局</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 （盖章）</w:t>
            </w:r>
          </w:p>
        </w:tc>
        <w:tc>
          <w:tcPr>
            <w:tcW w:w="3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广元市文化广播电视和旅游局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44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49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44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维修项目：防水维护、小型维修项目、消防设施设备故障整改、监控系统维护、配电设施设备绝缘试验等，由于维修项目无设计施工图，按照核对记录和现场踏勘记录和财评控制项目价格清单完成文化艺术中心维修项目，确保好文化艺术中心的正常运行。</w:t>
            </w:r>
          </w:p>
        </w:tc>
        <w:tc>
          <w:tcPr>
            <w:tcW w:w="49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维修项目：防水维护、小型维修项目、消防设施设备故障整改、监控系统维护、配电设施设备绝缘试验等，由于维修项目无设计施工图，按照核对记录和现场踏勘记录和财评控制项目价格清单完成文化艺术中心维修项目，确保好文化艺术中心的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936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完成了防水维护、小型维修项目、消防设施设备故障整改、监控系统维护、配电设施设备绝缘试验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年度预算数（万元）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48.74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48.74</w:t>
            </w:r>
          </w:p>
        </w:tc>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48.74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48.74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48.74</w:t>
            </w:r>
          </w:p>
        </w:tc>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48.74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维修文化艺术中心楼栋数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栋</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维修项目验收合格率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完工时间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2021年12月底前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2022年7月5日</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由于冬季气温低卷材无法施工，监控及消防施工方案未及时确定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结算金额与财评控制价比较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确保文化艺术中心入驻的各公益场馆正常有序免费开放，保障公共文化服务，消除安全隐患。</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延长文化艺术中心使用年限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入驻单位满意度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53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部门（单位）自评结论</w:t>
            </w:r>
          </w:p>
        </w:tc>
        <w:tc>
          <w:tcPr>
            <w:tcW w:w="102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自评得分95分。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部门（单位）自评存在问题</w:t>
            </w:r>
          </w:p>
        </w:tc>
        <w:tc>
          <w:tcPr>
            <w:tcW w:w="102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工期控制不到位，主要是由于冬季气温低卷材无法施工，监控及消防施工方案未及时确定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部门（单位）自评改进措施</w:t>
            </w:r>
          </w:p>
        </w:tc>
        <w:tc>
          <w:tcPr>
            <w:tcW w:w="102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在以后的项目实施工程中更加详细地考虑多方面影响因素，及时确定实施方案。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财政部门对口科室复评结论及整改要求</w:t>
            </w:r>
          </w:p>
        </w:tc>
        <w:tc>
          <w:tcPr>
            <w:tcW w:w="102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单位项目负责人：</w:t>
            </w:r>
          </w:p>
        </w:tc>
        <w:tc>
          <w:tcPr>
            <w:tcW w:w="67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部门项目负责人：</w:t>
            </w:r>
          </w:p>
        </w:tc>
        <w:tc>
          <w:tcPr>
            <w:tcW w:w="673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19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财政部门科室负责人：</w:t>
            </w:r>
          </w:p>
        </w:tc>
      </w:tr>
    </w:tbl>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6"/>
        <w:spacing w:before="93"/>
        <w:rPr>
          <w:rFonts w:hint="default" w:ascii="方正小标宋简体" w:hAnsi="方正小标宋简体" w:eastAsia="黑体" w:cs="方正小标宋简体"/>
          <w:i w:val="0"/>
          <w:iCs w:val="0"/>
          <w:color w:val="000000"/>
          <w:kern w:val="0"/>
          <w:sz w:val="36"/>
          <w:szCs w:val="36"/>
          <w:u w:val="none"/>
          <w:lang w:val="en-US" w:eastAsia="zh-CN" w:bidi="ar"/>
        </w:rPr>
      </w:pPr>
      <w:r>
        <w:rPr>
          <w:rFonts w:hint="eastAsia" w:ascii="黑体" w:hAnsi="黑体" w:eastAsia="黑体" w:cs="黑体"/>
          <w:sz w:val="32"/>
          <w:szCs w:val="32"/>
        </w:rPr>
        <w:t>附件</w:t>
      </w:r>
      <w:r>
        <w:rPr>
          <w:rFonts w:hint="eastAsia" w:ascii="黑体" w:hAnsi="黑体" w:eastAsia="黑体" w:cs="黑体"/>
          <w:sz w:val="32"/>
          <w:szCs w:val="32"/>
          <w:lang w:val="en-US" w:eastAsia="zh-CN"/>
        </w:rPr>
        <w:t>21</w:t>
      </w:r>
    </w:p>
    <w:tbl>
      <w:tblPr>
        <w:tblStyle w:val="12"/>
        <w:tblpPr w:leftFromText="180" w:rightFromText="180" w:vertAnchor="text" w:horzAnchor="page" w:tblpX="344" w:tblpY="318"/>
        <w:tblOverlap w:val="never"/>
        <w:tblW w:w="11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5"/>
        <w:gridCol w:w="915"/>
        <w:gridCol w:w="915"/>
        <w:gridCol w:w="915"/>
        <w:gridCol w:w="915"/>
        <w:gridCol w:w="915"/>
        <w:gridCol w:w="765"/>
        <w:gridCol w:w="915"/>
        <w:gridCol w:w="855"/>
        <w:gridCol w:w="795"/>
        <w:gridCol w:w="795"/>
        <w:gridCol w:w="915"/>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445"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36"/>
                <w:szCs w:val="36"/>
                <w:u w:val="none"/>
                <w:lang w:val="en-US" w:eastAsia="zh-CN" w:bidi="ar"/>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83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9615" w:type="dxa"/>
            <w:gridSpan w:val="11"/>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市文广旅局十四五规划编制经费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主管部门（盖章）</w:t>
            </w:r>
          </w:p>
        </w:tc>
        <w:tc>
          <w:tcPr>
            <w:tcW w:w="53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36"/>
                <w:szCs w:val="36"/>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广元市文化广播电视和旅游局 </w:t>
            </w:r>
            <w:r>
              <w:rPr>
                <w:rFonts w:hint="eastAsia" w:ascii="方正小标宋简体" w:hAnsi="方正小标宋简体" w:eastAsia="方正小标宋简体" w:cs="方正小标宋简体"/>
                <w:i w:val="0"/>
                <w:iCs w:val="0"/>
                <w:color w:val="000000"/>
                <w:kern w:val="0"/>
                <w:sz w:val="36"/>
                <w:szCs w:val="36"/>
                <w:u w:val="none"/>
                <w:lang w:val="en-US" w:eastAsia="zh-CN" w:bidi="ar"/>
              </w:rPr>
              <w:t xml:space="preserve">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 （盖章）</w:t>
            </w:r>
          </w:p>
        </w:tc>
        <w:tc>
          <w:tcPr>
            <w:tcW w:w="34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53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4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53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编制完成《广元市“十四五”文化和旅游发展规划》，全网公开印发规划文本、解读的成果。</w:t>
            </w:r>
          </w:p>
        </w:tc>
        <w:tc>
          <w:tcPr>
            <w:tcW w:w="42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完成《广元市“十四五”文化和旅游发展规划》编制工作，经市政府批复后全网公开发布，同时发布“十四五”文化旅游发展规划解读。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961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2019年启动“十四五”文化和旅游发展规划编制工作，研究形成“十四五”文化旅游发展思路、文化旅游发展布局，先后组织召开讨论会15次；    2020年7月通过竞争性磋商确定成都理工大学旅游与城镇研究所为中标编制单位。2020年7月-2021年12月期间，开展规划编制工作。先后10次召开规划专题工作讨论会、县区和市级部门意见征求会，3次书面征求市级各部门、县区、企业、群众等方面意见，开展了规划初评、专家评审，完成了规划公平竞争审查、合法性审查等工作，市委、市政府分管领导分别对《规划》进行了研究并作出批示。收集汇总各方反馈意见并进行了21次修改完善，形成《规划（送审稿）》，报送市政府审定。2021年12月26日，市政府批复同意《规划》。2023年1月，在文化广播电视和旅游局官网、微信全网公开 《广元市“十四五”文化和旅游发展规划》 文本和文本解读。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年度预算数（万元）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35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35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35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35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5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规划文本及总体布局图等相应图件等成果</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规划文字说明和图件内容的电子备份文件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通过文化旅游行业专家评审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促进文化旅游产业发展，带动当地居民增收、就业，改善当地生活环境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较好</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较好</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“剑门蜀道 女皇故里”文化旅游品牌影响力持续提升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县区文化旅游局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0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部门（单位）自评结论</w:t>
            </w:r>
          </w:p>
        </w:tc>
        <w:tc>
          <w:tcPr>
            <w:tcW w:w="1053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项目推进过程中通过公开面向社会招标确定中标单位，竞争性磋商过程中邀请局纪委监管办负责同志参与， 编制过程中面向社会、市级部门、县区、专家征求意见，并通过专家评审，报市政府规委会审查并通过，面向社会挂网。全过程合理合法，编制成果科学、客观，得到广泛应用。受到各界一致好评。自评得分100分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部门（单位）自评存在问题</w:t>
            </w:r>
          </w:p>
        </w:tc>
        <w:tc>
          <w:tcPr>
            <w:tcW w:w="1053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部门（单位）自评改进措施</w:t>
            </w:r>
          </w:p>
        </w:tc>
        <w:tc>
          <w:tcPr>
            <w:tcW w:w="1053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财政部门对口科室复评结论及整改要求</w:t>
            </w:r>
          </w:p>
        </w:tc>
        <w:tc>
          <w:tcPr>
            <w:tcW w:w="1053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单位项目负责人：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部门项目负责人：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9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445"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财政部门科室负责人：</w:t>
            </w:r>
          </w:p>
        </w:tc>
      </w:tr>
    </w:tbl>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6"/>
        <w:spacing w:before="93"/>
        <w:rPr>
          <w:rFonts w:hint="default" w:ascii="黑体" w:hAnsi="黑体" w:eastAsia="黑体"/>
          <w:color w:val="auto"/>
          <w:sz w:val="44"/>
          <w:szCs w:val="44"/>
          <w:highlight w:val="none"/>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22</w:t>
      </w:r>
    </w:p>
    <w:p>
      <w:pPr>
        <w:rPr>
          <w:rFonts w:hint="eastAsia"/>
        </w:rPr>
      </w:pPr>
    </w:p>
    <w:tbl>
      <w:tblPr>
        <w:tblStyle w:val="12"/>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1334"/>
        <w:gridCol w:w="930"/>
        <w:gridCol w:w="1619"/>
        <w:gridCol w:w="521"/>
        <w:gridCol w:w="1199"/>
        <w:gridCol w:w="521"/>
        <w:gridCol w:w="1091"/>
        <w:gridCol w:w="505"/>
        <w:gridCol w:w="456"/>
        <w:gridCol w:w="1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2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51080022T000005638000-市文广旅局系列文化旅游宣传营销活动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12.81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12.81</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12.81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12.81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12.81</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12.81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80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lang w:eastAsia="zh-CN"/>
              </w:rPr>
            </w:pPr>
            <w:r>
              <w:rPr>
                <w:rFonts w:hint="eastAsia" w:ascii="微软雅黑" w:hAnsi="微软雅黑" w:eastAsia="微软雅黑" w:cs="微软雅黑"/>
                <w:color w:val="000000"/>
                <w:kern w:val="0"/>
                <w:sz w:val="16"/>
                <w:szCs w:val="16"/>
              </w:rPr>
              <w:t>结合自评情况，说明项目自评总分98分</w:t>
            </w:r>
            <w:r>
              <w:rPr>
                <w:rFonts w:hint="eastAsia" w:ascii="微软雅黑" w:hAnsi="微软雅黑" w:eastAsia="微软雅黑" w:cs="微软雅黑"/>
                <w:color w:val="000000"/>
                <w:kern w:val="0"/>
                <w:sz w:val="16"/>
                <w:szCs w:val="16"/>
                <w:lang w:eastAsia="zh-CN"/>
              </w:rPr>
              <w:t>，</w:t>
            </w:r>
            <w:r>
              <w:rPr>
                <w:rFonts w:hint="eastAsia" w:ascii="微软雅黑" w:hAnsi="微软雅黑" w:eastAsia="微软雅黑" w:cs="微软雅黑"/>
                <w:color w:val="000000"/>
                <w:kern w:val="0"/>
                <w:sz w:val="16"/>
                <w:szCs w:val="16"/>
              </w:rPr>
              <w:t>在预算执行过程中，强化绩效监控管理。绩效指标设置的精准性、合理性</w:t>
            </w:r>
            <w:r>
              <w:rPr>
                <w:rFonts w:hint="eastAsia" w:ascii="微软雅黑" w:hAnsi="微软雅黑" w:eastAsia="微软雅黑" w:cs="微软雅黑"/>
                <w:color w:val="000000"/>
                <w:kern w:val="0"/>
                <w:sz w:val="16"/>
                <w:szCs w:val="16"/>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52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6"/>
        <w:spacing w:before="93"/>
        <w:rPr>
          <w:rFonts w:hint="default" w:eastAsia="黑体"/>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23</w:t>
      </w:r>
    </w:p>
    <w:tbl>
      <w:tblPr>
        <w:tblStyle w:val="12"/>
        <w:tblW w:w="10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5"/>
        <w:gridCol w:w="915"/>
        <w:gridCol w:w="915"/>
        <w:gridCol w:w="915"/>
        <w:gridCol w:w="915"/>
        <w:gridCol w:w="915"/>
        <w:gridCol w:w="915"/>
        <w:gridCol w:w="915"/>
        <w:gridCol w:w="915"/>
        <w:gridCol w:w="915"/>
        <w:gridCol w:w="915"/>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98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91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市局文旅局公共文化服务体系建设专项资金之政府购买服务示范项目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主管部门（盖章）</w:t>
            </w: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广元市文化广播电视和旅游局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 （盖章）</w:t>
            </w:r>
          </w:p>
        </w:tc>
        <w:tc>
          <w:tcPr>
            <w:tcW w:w="3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广元市文化广播电视和旅游局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1.有爱·无碍公益服务：每场讲座受益群众数量不低于100人，每次培训受益群众数量不低于30人，每场讲座或培训时长不低于60分钟，全年举办讲座或培训场次不低于50场。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2.中华传统经典诵读公益服务：每场讲座受益群众数量不低于100人，每次培训受益群众数量不低于30人，每场讲座或培训时长不低于60分钟，全年举办讲座或培训场次不低于50场。</w:t>
            </w: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1.有爱·无碍公益服务： 1.讲座计划受益人次≥100人；实际受益396人次；2.每场讲座或培训时长≥60分钟；实际按指标达成；3.每次培训受益人次≥30人；实际完成31人；4.举办讲座或培训≥50场；实际已完成50场；整体指标完成率较高，后续项目项进度完全可控。                                  2.中华传统经典诵读公益服务：1.每场讲座受益群众数量不低于100人，实际受益665人次；2.每次培训受益群众数量不低于30人，实际每次培训受益群众数达到35-100人不等；3.每场讲座或培训时长不低于60分钟，实际每次活动时长在90分钟以上。受疫情封控影响，全年举办讲座或培训场次已达到30场。整体指标完成率较高，后续项目结项进度完全可控。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91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有爱·无碍公益服务：定期开展对特殊群体的美术基础教学课程;研发适合特殊群体制作的手工产品;教授特殊群体创作制作与中华传统文化、广元非遗文化、广元旅游文化相关的作品;聘请美术馆市美术家协会，川幼高校等专家对特殊群体进行美术鉴赏、美术专业能力提升等专题讲座。 2.中华传统经典诵读公益服务：举办“书香广元•蜀道之声”专题品牌创建活动10场围绕“书香广元•蜀道之声”专题品牌创建，结合中华传统节日和文化旅游活动，通过举办读书分享会、蜀道诗词诵读会、“走蜀道、赞广元”等活动10场，达到“书香广元•蜀道之声”的品牌深入人心；面向全市中小学校、诗词学会和社区，举办中华经典诵读讲座30场，举办中华经典诵读专题培训10场，通过吟诵这一独特的诵读方式传唱广元经典、中华经典，达到不少于2000人认识了解吟诵并学习吟诵的培训目标;面向全市举办一场中华经典诵读比赛，由电视台进行宣传报道，持续推动经典诵读品牌深入人心。活动贯穿整个合同期内，目前正在有序推进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年度预算数（万元）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每场讲座受益人次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509</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每场讲座或培训时长</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分钟</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每次培训受益人次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举办讲座或培训</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助推广元全民阅读</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传承弘扬中华优秀传统文化</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助推现代公共文化服务体系建设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助推特殊群体享受公共文化服务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3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0"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部门（单位）自评结论</w:t>
            </w:r>
          </w:p>
        </w:tc>
        <w:tc>
          <w:tcPr>
            <w:tcW w:w="100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有爱·无碍公益服务项目，资金绩效目标指向明确，与相应的财政支出范围、方向、效果紧密相关。评估过程经调查研究及科学论证，符合实际。“有爱·无碍”公益服务项目的实践，推动了国家关于加快构建现代公共文化服务体系等决策部署在基层落地落实，整合调动多方文化资源，提高群众参与积极性，弥补了公共文化服务投入不足、管理不到位、群众参与度不高的弊端。体现了从“办文化”向“管文化”、从“送文化”到“种文化”的转变，是特殊群体公共文化服务供给侧改革的有益尝试和探索，实现了特殊群体文化的众建、众享、众乐，使文化普及与文化提升并行，文化消费与文化惠民双赢。“有爱·无碍”公益服务项目在提升后，“有爱·无碍”文旅志愿者促残健融合志愿服务项目荣获省赛金奖、全国赛银奖。2.中华传统经典诵读公益服务项目自启动以来，通过整合社会资源，以立德树人、培育社会主义核心价值观为根本任务，以传承地方民俗文化、弘扬中华优秀传统文化、打造经典诵读品牌为核心内容，以经典诵读、阅读推广、文化活动实践为主要形式，依托广元丰富的地方历史文献和蜀道文旅资源，积极开展蜀道诗词传颂活动、蜀道文化之旅考察活动、建军节、女儿节、喜迎二十大、重阳节、春节等主题诵读活动，打造“书香广元•蜀道之声”文化品牌，有力地推动了“书香广元”建设。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部门（单位）自评存在问题</w:t>
            </w:r>
          </w:p>
        </w:tc>
        <w:tc>
          <w:tcPr>
            <w:tcW w:w="100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疫情管控影响，本项目招投标时间和启动时间较晚，同时，2022年10月4日至2023年1月，我市受疫情影响，无法开展大规模线下聚集活动，对活动的有效开展产生了一定的制约，导致无法正常开展工作，整个项目的预期完成进度和实际完成进度未能完全同步，活动具体方案受疫情影响略有调整，总体上处于可控状态，应能如期完成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部门（单位）自评改进措施</w:t>
            </w:r>
          </w:p>
        </w:tc>
        <w:tc>
          <w:tcPr>
            <w:tcW w:w="100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1.项目受疫情或其他不可抗力因素影响导致无法开展线下聚集活动时，建议允许开展线上活动，视为有效。2.项目可以通过连续集中培训视为多场次培训，提升培训质量和效果。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财政部门对口科室复评结论及整改要求</w:t>
            </w:r>
          </w:p>
        </w:tc>
        <w:tc>
          <w:tcPr>
            <w:tcW w:w="100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单位项目负责人：</w:t>
            </w:r>
          </w:p>
        </w:tc>
        <w:tc>
          <w:tcPr>
            <w:tcW w:w="64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部门项目负责人：</w:t>
            </w:r>
          </w:p>
        </w:tc>
        <w:tc>
          <w:tcPr>
            <w:tcW w:w="64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98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财政部门科室负责人：</w:t>
            </w:r>
          </w:p>
        </w:tc>
      </w:tr>
    </w:tbl>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6"/>
        <w:spacing w:before="93"/>
        <w:rPr>
          <w:rFonts w:hint="default" w:ascii="黑体" w:hAnsi="黑体" w:eastAsia="黑体"/>
          <w:color w:val="auto"/>
          <w:sz w:val="44"/>
          <w:szCs w:val="44"/>
          <w:highlight w:val="none"/>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24</w:t>
      </w:r>
    </w:p>
    <w:tbl>
      <w:tblPr>
        <w:tblStyle w:val="12"/>
        <w:tblW w:w="10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5"/>
        <w:gridCol w:w="915"/>
        <w:gridCol w:w="915"/>
        <w:gridCol w:w="915"/>
        <w:gridCol w:w="915"/>
        <w:gridCol w:w="915"/>
        <w:gridCol w:w="915"/>
        <w:gridCol w:w="915"/>
        <w:gridCol w:w="915"/>
        <w:gridCol w:w="915"/>
        <w:gridCol w:w="915"/>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98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91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市文化艺术中心洪涝灾害修复资金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主管部门（盖章）</w:t>
            </w: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广元市文化广播电视和旅游局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 （盖章）</w:t>
            </w:r>
          </w:p>
        </w:tc>
        <w:tc>
          <w:tcPr>
            <w:tcW w:w="3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广元市文化广播电视和旅游局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文化艺术中心广场因洪涝灾害导致的地面沉降区域修复及外围马赛克雨篷修复。</w:t>
            </w: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文化艺术中心广场因洪涝灾害导致的地面沉降区域修复及外围马赛克雨篷修复。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91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文化艺术中心广场因洪涝灾害导致的地面沉降区域修复及外围马赛克雨篷修复。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年度预算数（万元）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17.86</w:t>
            </w: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项目结余资金7.48万元。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17.86</w:t>
            </w: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产出指标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文化艺术中心广场沉降区域修复面积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平方米</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产出指标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修复外围马赛克雨篷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650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平方米</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650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产出指标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工程建设相关标准达标率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产出指标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文明施工投诉</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社会效益指标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保障公共文化服务阵地开放</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优</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优</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1"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可持续影响指标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提升市政美观</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良</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满意度指标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服务对象满意度指标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市民满意度</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大于等于</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满意度指标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服务对象满意度指标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文化艺术中心入住单位满意度</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大于等于</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3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部门（单位）自评结论</w:t>
            </w:r>
          </w:p>
        </w:tc>
        <w:tc>
          <w:tcPr>
            <w:tcW w:w="100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自评得分95.81分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部门（单位）自评存在问题</w:t>
            </w:r>
          </w:p>
        </w:tc>
        <w:tc>
          <w:tcPr>
            <w:tcW w:w="100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部门（单位）自评改进措施</w:t>
            </w:r>
          </w:p>
        </w:tc>
        <w:tc>
          <w:tcPr>
            <w:tcW w:w="100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财政部门对口科室复评结论及整改要求</w:t>
            </w:r>
          </w:p>
        </w:tc>
        <w:tc>
          <w:tcPr>
            <w:tcW w:w="100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单位项目负责人：</w:t>
            </w:r>
          </w:p>
        </w:tc>
        <w:tc>
          <w:tcPr>
            <w:tcW w:w="64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部门项目负责人：</w:t>
            </w:r>
          </w:p>
        </w:tc>
        <w:tc>
          <w:tcPr>
            <w:tcW w:w="64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98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财政部门科室负责人：</w:t>
            </w:r>
          </w:p>
        </w:tc>
      </w:tr>
    </w:tbl>
    <w:p>
      <w:pPr>
        <w:rPr>
          <w:rFonts w:hint="eastAsia" w:ascii="黑体" w:hAnsi="黑体" w:eastAsia="黑体"/>
          <w:color w:val="auto"/>
          <w:sz w:val="44"/>
          <w:szCs w:val="44"/>
          <w:highlight w:val="none"/>
        </w:rPr>
      </w:pPr>
    </w:p>
    <w:p>
      <w:pPr>
        <w:pStyle w:val="2"/>
        <w:rPr>
          <w:rFonts w:hint="eastAsia"/>
        </w:rPr>
      </w:pPr>
    </w:p>
    <w:p>
      <w:pPr>
        <w:pStyle w:val="6"/>
        <w:spacing w:before="93"/>
        <w:rPr>
          <w:rFonts w:hint="default" w:ascii="黑体" w:hAnsi="黑体" w:eastAsia="黑体"/>
          <w:color w:val="auto"/>
          <w:sz w:val="44"/>
          <w:szCs w:val="44"/>
          <w:highlight w:val="none"/>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25</w:t>
      </w:r>
    </w:p>
    <w:p>
      <w:pPr>
        <w:rPr>
          <w:rFonts w:hint="eastAsia"/>
        </w:rPr>
      </w:pPr>
    </w:p>
    <w:tbl>
      <w:tblPr>
        <w:tblStyle w:val="12"/>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1334"/>
        <w:gridCol w:w="930"/>
        <w:gridCol w:w="1619"/>
        <w:gridCol w:w="521"/>
        <w:gridCol w:w="1199"/>
        <w:gridCol w:w="521"/>
        <w:gridCol w:w="1091"/>
        <w:gridCol w:w="505"/>
        <w:gridCol w:w="456"/>
        <w:gridCol w:w="1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02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51080022T000006113722-职业年金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5.54</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5.54</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5.54</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0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kern w:val="0"/>
                <w:sz w:val="16"/>
                <w:szCs w:val="16"/>
              </w:rPr>
              <w:t>结合自评情况，说明项目自评总分98分</w:t>
            </w:r>
            <w:r>
              <w:rPr>
                <w:rFonts w:hint="eastAsia" w:ascii="微软雅黑" w:hAnsi="微软雅黑" w:eastAsia="微软雅黑" w:cs="微软雅黑"/>
                <w:color w:val="000000"/>
                <w:kern w:val="0"/>
                <w:sz w:val="16"/>
                <w:szCs w:val="16"/>
                <w:lang w:eastAsia="zh-CN"/>
              </w:rPr>
              <w:t>，</w:t>
            </w:r>
            <w:r>
              <w:rPr>
                <w:rFonts w:hint="eastAsia" w:ascii="微软雅黑" w:hAnsi="微软雅黑" w:eastAsia="微软雅黑" w:cs="微软雅黑"/>
                <w:color w:val="000000"/>
                <w:kern w:val="0"/>
                <w:sz w:val="16"/>
                <w:szCs w:val="16"/>
              </w:rPr>
              <w:t>在预算执行过程中，强化绩效监控管理。绩效指标设置的精准性、合理性</w:t>
            </w:r>
            <w:r>
              <w:rPr>
                <w:rFonts w:hint="eastAsia" w:ascii="微软雅黑" w:hAnsi="微软雅黑" w:eastAsia="微软雅黑" w:cs="微软雅黑"/>
                <w:color w:val="000000"/>
                <w:kern w:val="0"/>
                <w:sz w:val="16"/>
                <w:szCs w:val="16"/>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2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rPr>
          <w:rFonts w:hint="eastAsia" w:ascii="黑体" w:hAnsi="黑体" w:eastAsia="黑体"/>
          <w:color w:val="auto"/>
          <w:sz w:val="44"/>
          <w:szCs w:val="44"/>
          <w:highlight w:val="none"/>
        </w:rPr>
      </w:pPr>
    </w:p>
    <w:p>
      <w:pPr>
        <w:pStyle w:val="6"/>
        <w:spacing w:before="93"/>
        <w:rPr>
          <w:rFonts w:hint="default" w:ascii="黑体" w:hAnsi="黑体" w:eastAsia="黑体"/>
          <w:color w:val="auto"/>
          <w:sz w:val="44"/>
          <w:szCs w:val="44"/>
          <w:highlight w:val="none"/>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26</w:t>
      </w:r>
    </w:p>
    <w:p>
      <w:pPr>
        <w:rPr>
          <w:rFonts w:hint="eastAsia"/>
        </w:rPr>
      </w:pPr>
    </w:p>
    <w:tbl>
      <w:tblPr>
        <w:tblStyle w:val="12"/>
        <w:tblW w:w="102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5"/>
        <w:gridCol w:w="1310"/>
        <w:gridCol w:w="1170"/>
        <w:gridCol w:w="1607"/>
        <w:gridCol w:w="521"/>
        <w:gridCol w:w="1193"/>
        <w:gridCol w:w="518"/>
        <w:gridCol w:w="1091"/>
        <w:gridCol w:w="502"/>
        <w:gridCol w:w="447"/>
        <w:gridCol w:w="1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025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1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51080022T000006453425-广元特色餐饮和农特产品经省级机关展示展销活动经费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50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50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1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50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1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1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0.21</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0.21</w:t>
            </w:r>
          </w:p>
        </w:tc>
        <w:tc>
          <w:tcPr>
            <w:tcW w:w="22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0.21</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0.21</w:t>
            </w:r>
          </w:p>
        </w:tc>
        <w:tc>
          <w:tcPr>
            <w:tcW w:w="22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0.21</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2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4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kern w:val="0"/>
                <w:sz w:val="16"/>
                <w:szCs w:val="16"/>
              </w:rPr>
              <w:t>结合自评情况，说明项目自评总分98分</w:t>
            </w:r>
            <w:r>
              <w:rPr>
                <w:rFonts w:hint="eastAsia" w:ascii="微软雅黑" w:hAnsi="微软雅黑" w:eastAsia="微软雅黑" w:cs="微软雅黑"/>
                <w:color w:val="000000"/>
                <w:kern w:val="0"/>
                <w:sz w:val="16"/>
                <w:szCs w:val="16"/>
                <w:lang w:eastAsia="zh-CN"/>
              </w:rPr>
              <w:t>，</w:t>
            </w:r>
            <w:r>
              <w:rPr>
                <w:rFonts w:hint="eastAsia" w:ascii="微软雅黑" w:hAnsi="微软雅黑" w:eastAsia="微软雅黑" w:cs="微软雅黑"/>
                <w:color w:val="000000"/>
                <w:kern w:val="0"/>
                <w:sz w:val="16"/>
                <w:szCs w:val="16"/>
              </w:rPr>
              <w:t>在预算执行过程中，强化绩效监控管理。绩效指标设置的精准性、合理性</w:t>
            </w:r>
            <w:r>
              <w:rPr>
                <w:rFonts w:hint="eastAsia" w:ascii="微软雅黑" w:hAnsi="微软雅黑" w:eastAsia="微软雅黑" w:cs="微软雅黑"/>
                <w:color w:val="000000"/>
                <w:kern w:val="0"/>
                <w:sz w:val="16"/>
                <w:szCs w:val="16"/>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4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4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4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8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rPr>
      </w:pPr>
    </w:p>
    <w:p>
      <w:pPr>
        <w:rPr>
          <w:rFonts w:hint="eastAsia"/>
        </w:rPr>
      </w:pPr>
    </w:p>
    <w:p>
      <w:pPr>
        <w:pStyle w:val="6"/>
        <w:spacing w:before="93"/>
        <w:rPr>
          <w:rFonts w:hint="default"/>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27</w:t>
      </w:r>
    </w:p>
    <w:tbl>
      <w:tblPr>
        <w:tblStyle w:val="12"/>
        <w:tblW w:w="10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5"/>
        <w:gridCol w:w="915"/>
        <w:gridCol w:w="936"/>
        <w:gridCol w:w="936"/>
        <w:gridCol w:w="915"/>
        <w:gridCol w:w="915"/>
        <w:gridCol w:w="915"/>
        <w:gridCol w:w="913"/>
        <w:gridCol w:w="915"/>
        <w:gridCol w:w="908"/>
        <w:gridCol w:w="901"/>
        <w:gridCol w:w="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980"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0"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9150" w:type="dxa"/>
            <w:gridSpan w:val="10"/>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航线轧差市级专项资金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主管部门（盖章）</w:t>
            </w: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广元市文化广播电视和旅游局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 （盖章）</w:t>
            </w:r>
          </w:p>
        </w:tc>
        <w:tc>
          <w:tcPr>
            <w:tcW w:w="3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广元市航空发展事务中心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按照国家口岸机场建设的航线指标要求,大力推动航线发展,一是努力开辟新航线,二是大力优化老航线.</w:t>
            </w: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202年新开通西昌、太原、长空航空的杭州、西宁、丽江航线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91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2022年全市民航营运线路15条。全年民航旅客运输总量22.9284万人次,同比减少50.09%。民航货运总量436.653吨,同比减少17%。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年度预算数（万元）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6,580.00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6,580.00</w:t>
            </w: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6,580.00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6,580.00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6,580.00</w:t>
            </w: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6,580.00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航线</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旅客吞吐量</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万人次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疫情期间，航班停飞严重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全年航班起落架次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疫情期间，航班停飞严重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支持建设四川北向东出桥头堡交通枢纽</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新开航线5条</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带动相关产业发展</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旅客满意度</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3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82.45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部门（单位）自评结论</w:t>
            </w:r>
          </w:p>
        </w:tc>
        <w:tc>
          <w:tcPr>
            <w:tcW w:w="100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该项目是常年延续性项目，对新航线开通的必要性、可行性以及对各航线补贴方式、补贴资金额度合理进行科学论证。自评得分92.45分。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部门（单位）自评存在问题</w:t>
            </w:r>
          </w:p>
        </w:tc>
        <w:tc>
          <w:tcPr>
            <w:tcW w:w="100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航线航班补贴方式单一。采取定额补贴方式虽然可控性较高，但不能有效调动航空公司积极性。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部门（单位）自评改进措施</w:t>
            </w:r>
          </w:p>
        </w:tc>
        <w:tc>
          <w:tcPr>
            <w:tcW w:w="100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定期或根据实际情况，召开航线发展会议，及时解决项目实施过程中遇见的困难，不断调整和优化项目。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财政部门对口科室复评结论及整改要求</w:t>
            </w:r>
          </w:p>
        </w:tc>
        <w:tc>
          <w:tcPr>
            <w:tcW w:w="100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单位项目负责人：</w:t>
            </w:r>
          </w:p>
        </w:tc>
        <w:tc>
          <w:tcPr>
            <w:tcW w:w="64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部门项目负责人：</w:t>
            </w:r>
          </w:p>
        </w:tc>
        <w:tc>
          <w:tcPr>
            <w:tcW w:w="64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98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财政部门科室负责人：</w:t>
            </w:r>
          </w:p>
        </w:tc>
      </w:tr>
    </w:tbl>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6"/>
        <w:spacing w:before="93"/>
        <w:rPr>
          <w:rFonts w:hint="default"/>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28</w:t>
      </w:r>
    </w:p>
    <w:tbl>
      <w:tblPr>
        <w:tblStyle w:val="12"/>
        <w:tblW w:w="10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1116"/>
        <w:gridCol w:w="1836"/>
        <w:gridCol w:w="844"/>
        <w:gridCol w:w="763"/>
        <w:gridCol w:w="1116"/>
        <w:gridCol w:w="803"/>
        <w:gridCol w:w="884"/>
        <w:gridCol w:w="724"/>
        <w:gridCol w:w="683"/>
        <w:gridCol w:w="683"/>
        <w:gridCol w:w="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1098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文旅融合发展专项资金-2022年度广元旅游营销优惠政策项目支出绩效目标自评表（2022年度）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91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文旅融合发展专项资金-2022年度广元旅游营销优惠政策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主管部门（盖章）</w:t>
            </w: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广元市文化广播电视和旅游局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 （盖章）</w:t>
            </w:r>
          </w:p>
        </w:tc>
        <w:tc>
          <w:tcPr>
            <w:tcW w:w="3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落实广元旅游营销优惠政策，对满足申报条件的旅行社严格审核、尽快兑现奖励资金，进一步扩大“剑门蜀道,女皇故里,红色热土，康养胜地”文旅品牌知名度和影响力，提高旅行社组织游客来广旅游积极性。</w:t>
            </w: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经核定2022年需兑现旅游营销优惠政策奖励资金共计100618元，其中奖励对象包含广元阳光假日旅行社有限公司、广元青年国际旅行社、成都环球国际旅行社有限公司，极大提升了广元文旅的知名度。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91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严格按照广元旅游营销优惠政策，对满足申报条件的旅行社和团队严格审核，全年共计审核满足申报条件的团队83个4757人次，其中其他团队69个4303人次，需兑现奖励资金25818元；航空团队14个454人次，需兑现奖励资金24800元；青年国际旅行社其他团队年度累计游客3110人次，需兑现年度累计奖励资金50000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年度预算数（万元）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17.71</w:t>
            </w: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17.71</w:t>
            </w: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旅游营销奖励资金兑现率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因2022年上半年因疫情影响，符合条件的奖励较少，推迟到2023年统一兑现。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来广旅游航空淡季单程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组织5人（含）以上入境游客来广元旅游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来广旅游航空淡季往返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来广旅游航空旺季单程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来广旅游航空旺季往返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出广旅游航空淡季单程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出广旅游航空淡季往返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高铁奖励（含兰渝铁路）来广旅游100人（含）以上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高铁奖励（含兰渝铁路）来广旅游100人（含）以上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高铁奖励（含兰渝铁路）来广旅游200人（含）以上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高铁奖励（含兰渝铁路）来广旅游200人（含）以上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高铁奖励（含兰渝铁路）来广旅游300人（含）以上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高铁奖励（含兰渝铁路）来广旅游300人（含）以上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自驾来广旅游一次组织自驾车辆在10台—20台（含）且人数在50人以上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自驾来广旅游一次组织自驾车辆在20台（不含）以上且人数在100人以上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直通车近程市场（200公里至500公里）来广旅游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直通车近程市场（500公里至800公里）来广旅游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直通车近程市场（800公里以上）来广旅游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来广一日游，每天发车，每天只补一班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组织境内10人（含）以上旅游团队来广元旅游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5"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扩大广元文旅“剑门蜀道,女皇故里,红色热土，康养胜地”影响力和吸引力，吸引更多旅行社组织游客来广旅游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申报旅行社满意度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3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部门（单位）自评结论</w:t>
            </w:r>
          </w:p>
        </w:tc>
        <w:tc>
          <w:tcPr>
            <w:tcW w:w="100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度旅游营销奖励项目自评总分95分，总体实施效果较好，为广元阳光假日旅行社有限公司、广元青年国际旅行社、成都环球国际旅行社有限公司三家公司共计兑付10.0618万元。在新冠疫情的影响下，帮助企业纾困解难，助推文旅经济复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部门（单位）自评存在问题</w:t>
            </w:r>
          </w:p>
        </w:tc>
        <w:tc>
          <w:tcPr>
            <w:tcW w:w="100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因2022年上半年因疫情影响，符合条件的奖励较少，推迟到2023年统一兑现。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部门（单位）自评改进措施</w:t>
            </w:r>
          </w:p>
        </w:tc>
        <w:tc>
          <w:tcPr>
            <w:tcW w:w="100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财政部门对口科室复评结论及整改要求</w:t>
            </w:r>
          </w:p>
        </w:tc>
        <w:tc>
          <w:tcPr>
            <w:tcW w:w="100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单位项目负责人：</w:t>
            </w:r>
          </w:p>
        </w:tc>
        <w:tc>
          <w:tcPr>
            <w:tcW w:w="64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部门项目负责人：</w:t>
            </w:r>
          </w:p>
        </w:tc>
        <w:tc>
          <w:tcPr>
            <w:tcW w:w="64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98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财政部门科室负责人：</w:t>
            </w:r>
          </w:p>
        </w:tc>
      </w:tr>
    </w:tbl>
    <w:p>
      <w:pPr>
        <w:rPr>
          <w:rFonts w:hint="eastAsia"/>
        </w:rPr>
      </w:pPr>
    </w:p>
    <w:p>
      <w:pPr>
        <w:pStyle w:val="2"/>
        <w:rPr>
          <w:rFonts w:hint="eastAsia"/>
        </w:rPr>
      </w:pPr>
    </w:p>
    <w:p>
      <w:pPr>
        <w:pStyle w:val="6"/>
        <w:spacing w:before="93"/>
        <w:rPr>
          <w:rFonts w:hint="eastAsia" w:ascii="黑体" w:hAnsi="黑体" w:eastAsia="黑体" w:cs="黑体"/>
          <w:sz w:val="32"/>
          <w:szCs w:val="32"/>
        </w:rPr>
      </w:pPr>
    </w:p>
    <w:p>
      <w:pPr>
        <w:pStyle w:val="6"/>
        <w:spacing w:before="93"/>
        <w:rPr>
          <w:rFonts w:hint="eastAsia" w:ascii="黑体" w:hAnsi="黑体" w:eastAsia="黑体" w:cs="黑体"/>
          <w:sz w:val="32"/>
          <w:szCs w:val="32"/>
        </w:rPr>
      </w:pPr>
    </w:p>
    <w:p>
      <w:pPr>
        <w:pStyle w:val="6"/>
        <w:spacing w:before="93"/>
        <w:rPr>
          <w:rFonts w:hint="default"/>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29</w:t>
      </w:r>
    </w:p>
    <w:tbl>
      <w:tblPr>
        <w:tblStyle w:val="12"/>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1334"/>
        <w:gridCol w:w="930"/>
        <w:gridCol w:w="1619"/>
        <w:gridCol w:w="521"/>
        <w:gridCol w:w="1199"/>
        <w:gridCol w:w="521"/>
        <w:gridCol w:w="1091"/>
        <w:gridCol w:w="505"/>
        <w:gridCol w:w="456"/>
        <w:gridCol w:w="1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90" w:hRule="atLeast"/>
          <w:jc w:val="center"/>
        </w:trPr>
        <w:tc>
          <w:tcPr>
            <w:tcW w:w="102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51080022T000006893076-2022年春节系列文化活动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广元市文化广播电视和旅游局部门</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以团结文明、喜庆祥和、安全节俭为基本原则，聚焦“我们的中国梦”——文化进万家主题，动员和组织广大文艺工作者，扎根基层、服务群众，创作出一批人民群众喜闻乐见的高质量文艺作品，以“虎迎盛世春 欢乐吉祥年”为活动名称，组织开展形式多样、内涵丰富的线上线下文化惠民服务活动，营造社会平安、家庭和乐、人心舒坦的节日氛围，为喜迎党的二十大召开营造良好氛围，凝聚团结进取、奋发图强的强大精神力量。</w:t>
            </w:r>
          </w:p>
        </w:tc>
        <w:tc>
          <w:tcPr>
            <w:tcW w:w="3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99.99%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19.70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99.99%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线上线下文化活动</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节日期间文化产品供给充分，共同营造喜庆祥和的节日文化氛围</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5"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丰富广大群众精神文化生活，更好满足人民精神文化生活新期待，营造欢乐、喜庆、祥和的浓厚节日氛围，为喜迎党的二十大召开营造良好氛围，凝聚团结进取、奋发图强的强大精神力量。</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优良中低差</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0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kern w:val="0"/>
                <w:sz w:val="16"/>
                <w:szCs w:val="16"/>
              </w:rPr>
              <w:t>结合自评情况，说明项目自评总分98分</w:t>
            </w:r>
            <w:r>
              <w:rPr>
                <w:rFonts w:hint="eastAsia" w:ascii="微软雅黑" w:hAnsi="微软雅黑" w:eastAsia="微软雅黑" w:cs="微软雅黑"/>
                <w:color w:val="000000"/>
                <w:kern w:val="0"/>
                <w:sz w:val="16"/>
                <w:szCs w:val="16"/>
                <w:lang w:eastAsia="zh-CN"/>
              </w:rPr>
              <w:t>，</w:t>
            </w:r>
            <w:r>
              <w:rPr>
                <w:rFonts w:hint="eastAsia" w:ascii="微软雅黑" w:hAnsi="微软雅黑" w:eastAsia="微软雅黑" w:cs="微软雅黑"/>
                <w:color w:val="000000"/>
                <w:kern w:val="0"/>
                <w:sz w:val="16"/>
                <w:szCs w:val="16"/>
              </w:rPr>
              <w:t>在预算执行过程中，强化绩效监控管理。绩效指标设置的精准性、合理性</w:t>
            </w:r>
            <w:r>
              <w:rPr>
                <w:rFonts w:hint="eastAsia" w:ascii="微软雅黑" w:hAnsi="微软雅黑" w:eastAsia="微软雅黑" w:cs="微软雅黑"/>
                <w:color w:val="000000"/>
                <w:kern w:val="0"/>
                <w:sz w:val="16"/>
                <w:szCs w:val="16"/>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2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6"/>
        <w:spacing w:before="93"/>
        <w:rPr>
          <w:rFonts w:hint="default" w:ascii="黑体" w:hAnsi="黑体" w:eastAsia="黑体"/>
          <w:color w:val="auto"/>
          <w:sz w:val="44"/>
          <w:szCs w:val="44"/>
          <w:highlight w:val="none"/>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30</w:t>
      </w:r>
    </w:p>
    <w:tbl>
      <w:tblPr>
        <w:tblStyle w:val="12"/>
        <w:tblW w:w="10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5"/>
        <w:gridCol w:w="915"/>
        <w:gridCol w:w="915"/>
        <w:gridCol w:w="915"/>
        <w:gridCol w:w="915"/>
        <w:gridCol w:w="915"/>
        <w:gridCol w:w="750"/>
        <w:gridCol w:w="915"/>
        <w:gridCol w:w="780"/>
        <w:gridCol w:w="915"/>
        <w:gridCol w:w="915"/>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68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88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文化旅游招商引资工作经费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主管部门（盖章）</w:t>
            </w:r>
          </w:p>
        </w:tc>
        <w:tc>
          <w:tcPr>
            <w:tcW w:w="44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广元市文化广播电视和旅游局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 （盖章）</w:t>
            </w:r>
          </w:p>
        </w:tc>
        <w:tc>
          <w:tcPr>
            <w:tcW w:w="35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44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44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开展招商引资活动和推进签约项目的落地建设，做大招商项目规模，引进行业优质企业，进一步发挥项目投资的引擎作用，推动文旅经济高质量发展。</w:t>
            </w:r>
          </w:p>
        </w:tc>
        <w:tc>
          <w:tcPr>
            <w:tcW w:w="44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完成全年招商引资任务，全年工签约项目6个，其中10亿元以上项目1个，客商满意度100%。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88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年，各成员单位主要负责人共外出招商及邀请企业来广考察共计59次，全市共签约文旅招商引资项目24个，签约金额225.56亿元。其中，1亿元-5亿元项目5个，5亿元-10亿元项目9个，10亿元以上项目9个。在建文化旅游类招商引资项目113个，共完成投资105.29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年度预算数（万元）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16.64</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16.64</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完成洽谈项目</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签约10亿元以上项目</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完成签约项目</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扩大招商引资规模，促进文旅行业经济向好发展</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优良中低差</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客商满意度</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1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部门（单位）自评结论</w:t>
            </w:r>
          </w:p>
        </w:tc>
        <w:tc>
          <w:tcPr>
            <w:tcW w:w="97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全面完成各项目标任务，目标绩效任务完成较好，在全市 个市级部门中，排名第七。自评得分100分。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部门（单位）自评存在问题</w:t>
            </w:r>
          </w:p>
        </w:tc>
        <w:tc>
          <w:tcPr>
            <w:tcW w:w="97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部门（单位）自评改进措施</w:t>
            </w:r>
          </w:p>
        </w:tc>
        <w:tc>
          <w:tcPr>
            <w:tcW w:w="97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财政部门对口科室复评结论及整改要求</w:t>
            </w:r>
          </w:p>
        </w:tc>
        <w:tc>
          <w:tcPr>
            <w:tcW w:w="97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单位项目负责人：</w:t>
            </w:r>
          </w:p>
        </w:tc>
        <w:tc>
          <w:tcPr>
            <w:tcW w:w="6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部门项目负责人：</w:t>
            </w:r>
          </w:p>
        </w:tc>
        <w:tc>
          <w:tcPr>
            <w:tcW w:w="61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68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财政部门科室负责人：</w:t>
            </w:r>
          </w:p>
        </w:tc>
      </w:tr>
    </w:tbl>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6"/>
        <w:spacing w:before="93"/>
        <w:rPr>
          <w:rFonts w:hint="default" w:ascii="黑体" w:hAnsi="黑体" w:eastAsia="黑体"/>
          <w:b/>
          <w:bCs/>
          <w:color w:val="auto"/>
          <w:sz w:val="44"/>
          <w:szCs w:val="44"/>
          <w:highlight w:val="none"/>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31</w:t>
      </w:r>
    </w:p>
    <w:tbl>
      <w:tblPr>
        <w:tblStyle w:val="12"/>
        <w:tblW w:w="10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5"/>
        <w:gridCol w:w="915"/>
        <w:gridCol w:w="915"/>
        <w:gridCol w:w="915"/>
        <w:gridCol w:w="915"/>
        <w:gridCol w:w="915"/>
        <w:gridCol w:w="915"/>
        <w:gridCol w:w="915"/>
        <w:gridCol w:w="915"/>
        <w:gridCol w:w="915"/>
        <w:gridCol w:w="915"/>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098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91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中央财政国内客运航班运行财政补贴资金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主管部门（盖章）</w:t>
            </w: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广元市文化广播电视和旅游局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 （盖章）</w:t>
            </w:r>
          </w:p>
        </w:tc>
        <w:tc>
          <w:tcPr>
            <w:tcW w:w="3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党中央、国务院决策部署，对国内运输航空公司经营的符合条件的国内客运航班实施阶段性财政补贴，夯实民航安全基础，提振发展信心，促进航空物流保通保畅，带动民航业全盘皆活，为民航全面复苏、赋能国民经济发展奠定基础。</w:t>
            </w: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国际航空公司、南方航空公司、四川航空公司、春秋航空公司按航线运行情况、航班变动成本等相关依据报市航空发展事务中心，市航空发展事务中心核实后在报市财政局，市财政局核实后报省财政厅及西南民航局，在报国家财政部及国家民航局，2022年兑现国内客运航班航线阶段性补贴资金958538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91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国际航空公司、南方航空公司、四川航空公司、春秋航空公司按航线运行情况、航班变动成本等相关依据报市航空发展事务中心，市航空发展事务中心核实后在报市财政局，市财政局核实后报省财政厅及西南民航局，在报国家财政部及国家民航局，2022年兑现国内客运航班航线阶段性补贴资金958538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年度预算数（万元）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95.85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95.85</w:t>
            </w: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95.85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95.85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95.85</w:t>
            </w: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95.85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补贴国内客运航班数量</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班</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地方财政补贴资金到位率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国内客运航班亏损弥补率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航空公司原因严重征候万时率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航空公司满意度</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3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部门（单位）自评结论</w:t>
            </w:r>
          </w:p>
        </w:tc>
        <w:tc>
          <w:tcPr>
            <w:tcW w:w="100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2022年阶段性国内客运航线补贴项目资金已拨付到位，该项目资金有助于航司在我市航线的培育，对疫情期间航班量和旅客人数也有一定促进作用。自评得分100分。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部门（单位）自评存在问题</w:t>
            </w:r>
          </w:p>
        </w:tc>
        <w:tc>
          <w:tcPr>
            <w:tcW w:w="100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部门（单位）自评改进措施</w:t>
            </w:r>
          </w:p>
        </w:tc>
        <w:tc>
          <w:tcPr>
            <w:tcW w:w="100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财政部门对口科室复评结论及整改要求</w:t>
            </w:r>
          </w:p>
        </w:tc>
        <w:tc>
          <w:tcPr>
            <w:tcW w:w="100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单位项目负责人：</w:t>
            </w:r>
          </w:p>
        </w:tc>
        <w:tc>
          <w:tcPr>
            <w:tcW w:w="64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部门项目负责人：</w:t>
            </w:r>
          </w:p>
        </w:tc>
        <w:tc>
          <w:tcPr>
            <w:tcW w:w="64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098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财政部门科室负责人：</w:t>
            </w:r>
          </w:p>
        </w:tc>
      </w:tr>
    </w:tbl>
    <w:p>
      <w:pPr>
        <w:pStyle w:val="2"/>
        <w:jc w:val="both"/>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6"/>
        <w:spacing w:before="93"/>
        <w:rPr>
          <w:rFonts w:hint="eastAsia" w:ascii="黑体" w:hAnsi="黑体" w:eastAsia="黑体" w:cs="黑体"/>
          <w:sz w:val="32"/>
          <w:szCs w:val="32"/>
        </w:rPr>
      </w:pPr>
    </w:p>
    <w:p>
      <w:pPr>
        <w:pStyle w:val="6"/>
        <w:spacing w:before="93"/>
        <w:rPr>
          <w:rFonts w:hint="default"/>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32</w:t>
      </w:r>
    </w:p>
    <w:tbl>
      <w:tblPr>
        <w:tblStyle w:val="12"/>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1334"/>
        <w:gridCol w:w="930"/>
        <w:gridCol w:w="1619"/>
        <w:gridCol w:w="521"/>
        <w:gridCol w:w="1199"/>
        <w:gridCol w:w="521"/>
        <w:gridCol w:w="1091"/>
        <w:gridCol w:w="505"/>
        <w:gridCol w:w="456"/>
        <w:gridCol w:w="1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02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51080022T000007187964-省级文化和旅游发展专项资金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0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kern w:val="0"/>
                <w:sz w:val="16"/>
                <w:szCs w:val="16"/>
              </w:rPr>
              <w:t>结合自评情况，说明项目自评总分98分</w:t>
            </w:r>
            <w:r>
              <w:rPr>
                <w:rFonts w:hint="eastAsia" w:ascii="微软雅黑" w:hAnsi="微软雅黑" w:eastAsia="微软雅黑" w:cs="微软雅黑"/>
                <w:color w:val="000000"/>
                <w:kern w:val="0"/>
                <w:sz w:val="16"/>
                <w:szCs w:val="16"/>
                <w:lang w:eastAsia="zh-CN"/>
              </w:rPr>
              <w:t>，</w:t>
            </w:r>
            <w:r>
              <w:rPr>
                <w:rFonts w:hint="eastAsia" w:ascii="微软雅黑" w:hAnsi="微软雅黑" w:eastAsia="微软雅黑" w:cs="微软雅黑"/>
                <w:color w:val="000000"/>
                <w:kern w:val="0"/>
                <w:sz w:val="16"/>
                <w:szCs w:val="16"/>
              </w:rPr>
              <w:t>在预算执行过程中，强化绩效监控管理。绩效指标设置的精准性、合理性</w:t>
            </w:r>
            <w:r>
              <w:rPr>
                <w:rFonts w:hint="eastAsia" w:ascii="微软雅黑" w:hAnsi="微软雅黑" w:eastAsia="微软雅黑" w:cs="微软雅黑"/>
                <w:color w:val="000000"/>
                <w:kern w:val="0"/>
                <w:sz w:val="16"/>
                <w:szCs w:val="16"/>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2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6"/>
        <w:spacing w:before="93"/>
        <w:rPr>
          <w:rFonts w:hint="eastAsia" w:ascii="黑体" w:hAnsi="黑体" w:eastAsia="黑体" w:cs="黑体"/>
          <w:sz w:val="32"/>
          <w:szCs w:val="32"/>
        </w:rPr>
      </w:pPr>
    </w:p>
    <w:p>
      <w:pPr>
        <w:pStyle w:val="6"/>
        <w:spacing w:before="93"/>
        <w:rPr>
          <w:rFonts w:hint="default" w:ascii="黑体" w:hAnsi="黑体" w:eastAsia="黑体"/>
          <w:color w:val="auto"/>
          <w:sz w:val="44"/>
          <w:szCs w:val="44"/>
          <w:highlight w:val="none"/>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33</w:t>
      </w:r>
    </w:p>
    <w:tbl>
      <w:tblPr>
        <w:tblStyle w:val="12"/>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1334"/>
        <w:gridCol w:w="930"/>
        <w:gridCol w:w="1619"/>
        <w:gridCol w:w="521"/>
        <w:gridCol w:w="1199"/>
        <w:gridCol w:w="521"/>
        <w:gridCol w:w="1091"/>
        <w:gridCol w:w="505"/>
        <w:gridCol w:w="456"/>
        <w:gridCol w:w="1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02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51080022T000007251017-中央文化人才专项经费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0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kern w:val="0"/>
                <w:sz w:val="16"/>
                <w:szCs w:val="16"/>
              </w:rPr>
              <w:t>结合自评情况，说明项目自评总分98分</w:t>
            </w:r>
            <w:r>
              <w:rPr>
                <w:rFonts w:hint="eastAsia" w:ascii="微软雅黑" w:hAnsi="微软雅黑" w:eastAsia="微软雅黑" w:cs="微软雅黑"/>
                <w:color w:val="000000"/>
                <w:kern w:val="0"/>
                <w:sz w:val="16"/>
                <w:szCs w:val="16"/>
                <w:lang w:eastAsia="zh-CN"/>
              </w:rPr>
              <w:t>，</w:t>
            </w:r>
            <w:r>
              <w:rPr>
                <w:rFonts w:hint="eastAsia" w:ascii="微软雅黑" w:hAnsi="微软雅黑" w:eastAsia="微软雅黑" w:cs="微软雅黑"/>
                <w:color w:val="000000"/>
                <w:kern w:val="0"/>
                <w:sz w:val="16"/>
                <w:szCs w:val="16"/>
              </w:rPr>
              <w:t>在预算执行过程中，强化绩效监控管理。绩效指标设置的精准性、合理性</w:t>
            </w:r>
            <w:r>
              <w:rPr>
                <w:rFonts w:hint="eastAsia" w:ascii="微软雅黑" w:hAnsi="微软雅黑" w:eastAsia="微软雅黑" w:cs="微软雅黑"/>
                <w:color w:val="000000"/>
                <w:kern w:val="0"/>
                <w:sz w:val="16"/>
                <w:szCs w:val="16"/>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52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6"/>
        <w:spacing w:before="93"/>
        <w:rPr>
          <w:rFonts w:hint="eastAsia" w:ascii="黑体" w:hAnsi="黑体" w:eastAsia="黑体" w:cs="黑体"/>
          <w:sz w:val="32"/>
          <w:szCs w:val="32"/>
        </w:rPr>
      </w:pPr>
    </w:p>
    <w:p>
      <w:pPr>
        <w:pStyle w:val="6"/>
        <w:spacing w:before="93"/>
        <w:rPr>
          <w:rFonts w:hint="default" w:ascii="黑体" w:hAnsi="黑体" w:eastAsia="黑体"/>
          <w:color w:val="auto"/>
          <w:sz w:val="44"/>
          <w:szCs w:val="44"/>
          <w:highlight w:val="none"/>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34</w:t>
      </w:r>
    </w:p>
    <w:tbl>
      <w:tblPr>
        <w:tblStyle w:val="12"/>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1334"/>
        <w:gridCol w:w="930"/>
        <w:gridCol w:w="1619"/>
        <w:gridCol w:w="521"/>
        <w:gridCol w:w="1199"/>
        <w:gridCol w:w="521"/>
        <w:gridCol w:w="1091"/>
        <w:gridCol w:w="505"/>
        <w:gridCol w:w="456"/>
        <w:gridCol w:w="1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02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51080022T000007254569-文旅融合发展专项资金-系列文化旅游活动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139.44</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61.72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44.26%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139.44</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61.72</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44.26%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80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kern w:val="0"/>
                <w:sz w:val="16"/>
                <w:szCs w:val="16"/>
              </w:rPr>
              <w:t>结合自评情况，说明项目自评总分98分</w:t>
            </w:r>
            <w:r>
              <w:rPr>
                <w:rFonts w:hint="eastAsia" w:ascii="微软雅黑" w:hAnsi="微软雅黑" w:eastAsia="微软雅黑" w:cs="微软雅黑"/>
                <w:color w:val="000000"/>
                <w:kern w:val="0"/>
                <w:sz w:val="16"/>
                <w:szCs w:val="16"/>
                <w:lang w:eastAsia="zh-CN"/>
              </w:rPr>
              <w:t>，</w:t>
            </w:r>
            <w:r>
              <w:rPr>
                <w:rFonts w:hint="eastAsia" w:ascii="微软雅黑" w:hAnsi="微软雅黑" w:eastAsia="微软雅黑" w:cs="微软雅黑"/>
                <w:color w:val="000000"/>
                <w:kern w:val="0"/>
                <w:sz w:val="16"/>
                <w:szCs w:val="16"/>
              </w:rPr>
              <w:t>在预算执行过程中，强化绩效监控管理。绩效指标设置的精准性、合理性</w:t>
            </w:r>
            <w:r>
              <w:rPr>
                <w:rFonts w:hint="eastAsia" w:ascii="微软雅黑" w:hAnsi="微软雅黑" w:eastAsia="微软雅黑" w:cs="微软雅黑"/>
                <w:color w:val="000000"/>
                <w:kern w:val="0"/>
                <w:sz w:val="16"/>
                <w:szCs w:val="16"/>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52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jc w:val="both"/>
        <w:rPr>
          <w:rFonts w:hint="eastAsia" w:ascii="黑体" w:hAnsi="黑体" w:eastAsia="黑体"/>
          <w:color w:val="auto"/>
          <w:sz w:val="44"/>
          <w:szCs w:val="44"/>
          <w:highlight w:val="none"/>
        </w:rPr>
      </w:pPr>
    </w:p>
    <w:p>
      <w:pPr>
        <w:pStyle w:val="6"/>
        <w:spacing w:before="93"/>
        <w:rPr>
          <w:rFonts w:hint="eastAsia" w:ascii="黑体" w:hAnsi="黑体" w:eastAsia="黑体" w:cs="黑体"/>
          <w:sz w:val="32"/>
          <w:szCs w:val="32"/>
        </w:rPr>
      </w:pPr>
    </w:p>
    <w:p>
      <w:pPr>
        <w:pStyle w:val="6"/>
        <w:spacing w:before="93"/>
        <w:rPr>
          <w:rFonts w:hint="default" w:ascii="黑体" w:hAnsi="黑体" w:eastAsia="黑体"/>
          <w:color w:val="auto"/>
          <w:sz w:val="44"/>
          <w:szCs w:val="44"/>
          <w:highlight w:val="none"/>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35</w:t>
      </w:r>
    </w:p>
    <w:tbl>
      <w:tblPr>
        <w:tblStyle w:val="12"/>
        <w:tblW w:w="10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5"/>
        <w:gridCol w:w="915"/>
        <w:gridCol w:w="915"/>
        <w:gridCol w:w="915"/>
        <w:gridCol w:w="795"/>
        <w:gridCol w:w="915"/>
        <w:gridCol w:w="915"/>
        <w:gridCol w:w="915"/>
        <w:gridCol w:w="915"/>
        <w:gridCol w:w="915"/>
        <w:gridCol w:w="915"/>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8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90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文旅融合发展专项资金-智慧旅游管理平台运维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主管部门（盖章）</w:t>
            </w:r>
          </w:p>
        </w:tc>
        <w:tc>
          <w:tcPr>
            <w:tcW w:w="44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广元市文化广播电视和旅游局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 （盖章）</w:t>
            </w:r>
          </w:p>
        </w:tc>
        <w:tc>
          <w:tcPr>
            <w:tcW w:w="3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44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44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1.旅游公共咨询服务、行业监管、应急响应、信息发布等主要功能正常运行。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2.日常维护及巡检按时按质完成。</w:t>
            </w: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广元市信息化建设项目管理办法》规定，2022年7月7日，市经济和信息化局组织相关专家组成专家组，对广元智慧旅游管理平台项目及其运维服务情况进行了评估，专家组认为广元智慧旅游管理平台的旅游公共咨询服务、行业监管、应急响应、信息发布功能运行正常，环球数科提供的运维报告、日常维护巡检记录等资料详实、严密，符合运维方案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903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市文化广电和旅游局通过重大节假日、日常不定期抽检查查看平台功能模块运行情况，季度/年度项目运维报告等方式，了解广元智慧旅游管理平台是否正常运行、巡检工作是否按期完成。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年度预算数（万元）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6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指标1：“三大数据”（监控、客流量、停车数据）接入平台。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指标2：运行天数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365天</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指标1：气象数据接入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指标2：投诉建议、游客满意度接入。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指标3：各功能模块运行正常</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指标4：设备故障率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指标1：实施时间</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1-12月</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1-12月</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指标1：促进广元文旅经济发展</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指标1：旅游公共咨询服务、行业监管、应急响应、信息发布等主要功能正常运行。</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指标1：推进了我市旅游康养名市建设</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较好</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指标1：游客满意度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指标1：运行维护费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部门（单位）自评结论</w:t>
            </w:r>
          </w:p>
        </w:tc>
        <w:tc>
          <w:tcPr>
            <w:tcW w:w="99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广元智慧旅游管理平台旅游公共咨询服务、行业监管、应急响应、信息发布等主要功能正常运行。自评得分95分。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部门（单位）自评存在问题</w:t>
            </w:r>
          </w:p>
        </w:tc>
        <w:tc>
          <w:tcPr>
            <w:tcW w:w="99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部门（单位）自评改进措施</w:t>
            </w:r>
          </w:p>
        </w:tc>
        <w:tc>
          <w:tcPr>
            <w:tcW w:w="99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财政部门对口科室复评结论及整改要求</w:t>
            </w:r>
          </w:p>
        </w:tc>
        <w:tc>
          <w:tcPr>
            <w:tcW w:w="99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4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单位项目负责人：</w:t>
            </w:r>
          </w:p>
        </w:tc>
        <w:tc>
          <w:tcPr>
            <w:tcW w:w="64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4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部门项目负责人：</w:t>
            </w:r>
          </w:p>
        </w:tc>
        <w:tc>
          <w:tcPr>
            <w:tcW w:w="64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8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财政部门科室负责人：</w:t>
            </w:r>
          </w:p>
        </w:tc>
      </w:tr>
    </w:tbl>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6"/>
        <w:spacing w:before="93"/>
        <w:rPr>
          <w:rFonts w:hint="eastAsia" w:ascii="黑体" w:hAnsi="黑体" w:eastAsia="黑体" w:cs="黑体"/>
          <w:sz w:val="32"/>
          <w:szCs w:val="32"/>
        </w:rPr>
      </w:pPr>
    </w:p>
    <w:p>
      <w:pPr>
        <w:pStyle w:val="6"/>
        <w:spacing w:before="93"/>
        <w:rPr>
          <w:rFonts w:hint="default" w:ascii="黑体" w:hAnsi="黑体" w:eastAsia="黑体"/>
          <w:color w:val="auto"/>
          <w:sz w:val="44"/>
          <w:szCs w:val="44"/>
          <w:highlight w:val="none"/>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36</w:t>
      </w:r>
    </w:p>
    <w:tbl>
      <w:tblPr>
        <w:tblStyle w:val="12"/>
        <w:tblW w:w="102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9"/>
        <w:gridCol w:w="1321"/>
        <w:gridCol w:w="925"/>
        <w:gridCol w:w="1612"/>
        <w:gridCol w:w="519"/>
        <w:gridCol w:w="1187"/>
        <w:gridCol w:w="519"/>
        <w:gridCol w:w="1086"/>
        <w:gridCol w:w="576"/>
        <w:gridCol w:w="455"/>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02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3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51080022Y000000267568-定额公用经费（事业）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1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广元市文化广播电视和旅游局部门</w:t>
            </w:r>
          </w:p>
        </w:tc>
        <w:tc>
          <w:tcPr>
            <w:tcW w:w="10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7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32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3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2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2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36.00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jc w:val="center"/>
        </w:trPr>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80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3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宋体" w:hAnsi="宋体" w:eastAsia="宋体" w:cs="宋体"/>
                <w:i w:val="0"/>
                <w:iCs w:val="0"/>
                <w:color w:val="000000"/>
                <w:kern w:val="0"/>
                <w:sz w:val="18"/>
                <w:szCs w:val="18"/>
                <w:u w:val="none"/>
                <w:lang w:val="en-US" w:eastAsia="zh-CN" w:bidi="ar"/>
              </w:rPr>
              <w:t>结合自评情况，说明项目自评总分98分，在预算执行过程中，</w:t>
            </w:r>
            <w:r>
              <w:rPr>
                <w:rFonts w:ascii="宋体" w:hAnsi="宋体" w:eastAsia="宋体" w:cs="宋体"/>
                <w:i w:val="0"/>
                <w:iCs w:val="0"/>
                <w:color w:val="000000"/>
                <w:kern w:val="0"/>
                <w:sz w:val="18"/>
                <w:szCs w:val="18"/>
                <w:u w:val="none"/>
                <w:lang w:val="en-US" w:eastAsia="zh-CN" w:bidi="ar"/>
              </w:rPr>
              <w:t>保障单位日常运转，提高预算编制质量，严格执行预算</w:t>
            </w:r>
            <w:r>
              <w:rPr>
                <w:rFonts w:hint="eastAsia" w:ascii="微软雅黑" w:hAnsi="微软雅黑" w:eastAsia="微软雅黑" w:cs="微软雅黑"/>
                <w:color w:val="000000"/>
                <w:kern w:val="0"/>
                <w:sz w:val="16"/>
                <w:szCs w:val="16"/>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3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35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52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97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6"/>
        <w:spacing w:before="93"/>
        <w:rPr>
          <w:rFonts w:hint="default" w:ascii="黑体" w:hAnsi="黑体" w:eastAsia="黑体"/>
          <w:color w:val="auto"/>
          <w:sz w:val="44"/>
          <w:szCs w:val="44"/>
          <w:highlight w:val="none"/>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37</w:t>
      </w:r>
    </w:p>
    <w:tbl>
      <w:tblPr>
        <w:tblStyle w:val="12"/>
        <w:tblW w:w="102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1335"/>
        <w:gridCol w:w="930"/>
        <w:gridCol w:w="1620"/>
        <w:gridCol w:w="521"/>
        <w:gridCol w:w="1200"/>
        <w:gridCol w:w="521"/>
        <w:gridCol w:w="1091"/>
        <w:gridCol w:w="505"/>
        <w:gridCol w:w="456"/>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2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51080023R000007612345-规范后市级基础绩效奖及生活补助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40.20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40.20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0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kern w:val="0"/>
                <w:sz w:val="16"/>
                <w:szCs w:val="16"/>
              </w:rPr>
              <w:t>结合自评情况，说明项目自评总分98分</w:t>
            </w:r>
            <w:r>
              <w:rPr>
                <w:rFonts w:hint="eastAsia" w:ascii="微软雅黑" w:hAnsi="微软雅黑" w:eastAsia="微软雅黑" w:cs="微软雅黑"/>
                <w:color w:val="000000"/>
                <w:kern w:val="0"/>
                <w:sz w:val="16"/>
                <w:szCs w:val="16"/>
                <w:lang w:eastAsia="zh-CN"/>
              </w:rPr>
              <w:t>，</w:t>
            </w:r>
            <w:r>
              <w:rPr>
                <w:rFonts w:hint="eastAsia" w:ascii="微软雅黑" w:hAnsi="微软雅黑" w:eastAsia="微软雅黑" w:cs="微软雅黑"/>
                <w:color w:val="000000"/>
                <w:kern w:val="0"/>
                <w:sz w:val="16"/>
                <w:szCs w:val="16"/>
              </w:rPr>
              <w:t>在预算执行过程中，强化绩效监控管理。绩效指标设置的精准性、合理性</w:t>
            </w:r>
            <w:r>
              <w:rPr>
                <w:rFonts w:hint="eastAsia" w:ascii="微软雅黑" w:hAnsi="微软雅黑" w:eastAsia="微软雅黑" w:cs="微软雅黑"/>
                <w:color w:val="000000"/>
                <w:kern w:val="0"/>
                <w:sz w:val="16"/>
                <w:szCs w:val="16"/>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52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rPr>
          <w:rFonts w:hint="eastAsia" w:ascii="黑体" w:hAnsi="黑体" w:eastAsia="黑体"/>
          <w:b/>
          <w:bCs/>
          <w:color w:val="auto"/>
          <w:sz w:val="44"/>
          <w:szCs w:val="44"/>
          <w:highlight w:val="none"/>
        </w:rPr>
      </w:pPr>
    </w:p>
    <w:p>
      <w:pPr>
        <w:pStyle w:val="2"/>
        <w:rPr>
          <w:rFonts w:hint="eastAsia" w:ascii="黑体" w:hAnsi="黑体" w:eastAsia="黑体"/>
          <w:color w:val="auto"/>
          <w:sz w:val="44"/>
          <w:szCs w:val="44"/>
          <w:highlight w:val="none"/>
        </w:rPr>
      </w:pPr>
    </w:p>
    <w:p>
      <w:pPr>
        <w:pStyle w:val="6"/>
        <w:spacing w:before="93"/>
        <w:rPr>
          <w:rFonts w:hint="default" w:ascii="黑体" w:hAnsi="黑体" w:eastAsia="黑体"/>
          <w:color w:val="auto"/>
          <w:sz w:val="44"/>
          <w:szCs w:val="44"/>
          <w:highlight w:val="none"/>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38</w:t>
      </w:r>
    </w:p>
    <w:tbl>
      <w:tblPr>
        <w:tblStyle w:val="12"/>
        <w:tblW w:w="109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8"/>
        <w:gridCol w:w="1116"/>
        <w:gridCol w:w="1296"/>
        <w:gridCol w:w="847"/>
        <w:gridCol w:w="848"/>
        <w:gridCol w:w="936"/>
        <w:gridCol w:w="848"/>
        <w:gridCol w:w="936"/>
        <w:gridCol w:w="831"/>
        <w:gridCol w:w="813"/>
        <w:gridCol w:w="813"/>
        <w:gridCol w:w="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98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91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“两节一会”活动经费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主管部门（盖章）</w:t>
            </w: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广元市文化广播电视和旅游局</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实施单位 （盖章）</w:t>
            </w:r>
          </w:p>
        </w:tc>
        <w:tc>
          <w:tcPr>
            <w:tcW w:w="3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项目基本情况</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1.项目年度目标完成情况</w:t>
            </w: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项目年度目标</w:t>
            </w: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深入贯彻落实习近平新时代中国特色社会主义思想、省第十二次党代会精神及省委、市委工作会议精神，充分发挥文化旅游节会活动的品牌培塑和市场宣传推广作用，推动文化旅游产业高质量发展。市委市政府决定，于2022年11月10日—14日在青川县举办四川省第十三届（秋季）乡村文化旅游节、第十二届大蜀道文化旅游节，全市文化旅游发展大会。将其办成唐家河、青溪古城的推销会，办成广元文旅项目招商引资会，大力提升广元旅游形象与知名度。</w:t>
            </w:r>
          </w:p>
        </w:tc>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2.项目实施内容及过程概述</w:t>
            </w:r>
          </w:p>
        </w:tc>
        <w:tc>
          <w:tcPr>
            <w:tcW w:w="91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预算执行情况（10分）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年度预算数（万元）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调整后预算数</w:t>
            </w: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总额</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72.88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44.31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因疫情原因，部分配套活动推迟或取消，导致预算执行率较低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72.88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44.31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财政专户管理资金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其他资金</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绩效指标（90分）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完成值</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部门自评得分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财政部门科室复评得分</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市本级负责“两节一会”相关活动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因疫情原因，部分配套活动推迟或取消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“两节一会”参会嘉宾人数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“两节一会”活动开展时间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节会活动宣传氛围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持续不减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持续不减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节会活动安全稳定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拟签约文旅招商引资项目金额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亿元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广元旅游形象与知名度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大力提升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大力提升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参会嘉宾满意度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3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部门（单位）自评结论</w:t>
            </w:r>
          </w:p>
        </w:tc>
        <w:tc>
          <w:tcPr>
            <w:tcW w:w="100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自评得分94分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部门（单位）自评存在问题</w:t>
            </w:r>
          </w:p>
        </w:tc>
        <w:tc>
          <w:tcPr>
            <w:tcW w:w="100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因疫情原因，部分配套活动推迟或取消，未进行预算调整。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部门（单位）自评改进措施</w:t>
            </w:r>
          </w:p>
        </w:tc>
        <w:tc>
          <w:tcPr>
            <w:tcW w:w="100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一是针对本项目及时进行预算调整，二是在今后的项目申报中更详细地编制活动方案，对需要调整的事项及时进行相应的预算调整。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财政部门对口科室复评结论及整改要求</w:t>
            </w:r>
          </w:p>
        </w:tc>
        <w:tc>
          <w:tcPr>
            <w:tcW w:w="100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单位项目负责人：</w:t>
            </w:r>
          </w:p>
        </w:tc>
        <w:tc>
          <w:tcPr>
            <w:tcW w:w="64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5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部门项目负责人：</w:t>
            </w:r>
          </w:p>
        </w:tc>
        <w:tc>
          <w:tcPr>
            <w:tcW w:w="64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098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财政部门科室负责人：</w:t>
            </w:r>
          </w:p>
        </w:tc>
      </w:tr>
    </w:tbl>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6"/>
        <w:spacing w:before="93"/>
        <w:rPr>
          <w:rFonts w:hint="default"/>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39</w:t>
      </w:r>
    </w:p>
    <w:tbl>
      <w:tblPr>
        <w:tblStyle w:val="12"/>
        <w:tblW w:w="102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1335"/>
        <w:gridCol w:w="930"/>
        <w:gridCol w:w="1620"/>
        <w:gridCol w:w="521"/>
        <w:gridCol w:w="1200"/>
        <w:gridCol w:w="521"/>
        <w:gridCol w:w="1091"/>
        <w:gridCol w:w="505"/>
        <w:gridCol w:w="456"/>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02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51080023T000008557091-市本级两新组织党建工作经费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1.34</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1.34</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0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kern w:val="0"/>
                <w:sz w:val="16"/>
                <w:szCs w:val="16"/>
              </w:rPr>
              <w:t>结合自评情况，说明项目自评总分98分</w:t>
            </w:r>
            <w:r>
              <w:rPr>
                <w:rFonts w:hint="eastAsia" w:ascii="微软雅黑" w:hAnsi="微软雅黑" w:eastAsia="微软雅黑" w:cs="微软雅黑"/>
                <w:color w:val="000000"/>
                <w:kern w:val="0"/>
                <w:sz w:val="16"/>
                <w:szCs w:val="16"/>
                <w:lang w:eastAsia="zh-CN"/>
              </w:rPr>
              <w:t>，</w:t>
            </w:r>
            <w:r>
              <w:rPr>
                <w:rFonts w:hint="eastAsia" w:ascii="微软雅黑" w:hAnsi="微软雅黑" w:eastAsia="微软雅黑" w:cs="微软雅黑"/>
                <w:color w:val="000000"/>
                <w:kern w:val="0"/>
                <w:sz w:val="16"/>
                <w:szCs w:val="16"/>
              </w:rPr>
              <w:t>在预算执行过程中，强化绩效监控管理。绩效指标设置的精准性、合理性</w:t>
            </w:r>
            <w:r>
              <w:rPr>
                <w:rFonts w:hint="eastAsia" w:ascii="微软雅黑" w:hAnsi="微软雅黑" w:eastAsia="微软雅黑" w:cs="微软雅黑"/>
                <w:color w:val="000000"/>
                <w:kern w:val="0"/>
                <w:sz w:val="16"/>
                <w:szCs w:val="16"/>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52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2"/>
        <w:rPr>
          <w:rFonts w:hint="eastAsia" w:ascii="黑体" w:hAnsi="黑体" w:eastAsia="黑体"/>
          <w:color w:val="auto"/>
          <w:sz w:val="44"/>
          <w:szCs w:val="44"/>
          <w:highlight w:val="none"/>
        </w:rPr>
      </w:pPr>
    </w:p>
    <w:p>
      <w:pPr>
        <w:pStyle w:val="2"/>
        <w:jc w:val="both"/>
        <w:rPr>
          <w:rFonts w:hint="eastAsia" w:ascii="黑体" w:hAnsi="黑体" w:eastAsia="黑体"/>
          <w:color w:val="auto"/>
          <w:sz w:val="44"/>
          <w:szCs w:val="44"/>
          <w:highlight w:val="none"/>
        </w:rPr>
      </w:pPr>
    </w:p>
    <w:p>
      <w:pPr>
        <w:pStyle w:val="6"/>
        <w:spacing w:before="93"/>
        <w:rPr>
          <w:rFonts w:hint="default" w:ascii="黑体" w:hAnsi="黑体" w:eastAsia="黑体"/>
          <w:color w:val="auto"/>
          <w:sz w:val="44"/>
          <w:szCs w:val="44"/>
          <w:highlight w:val="none"/>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40</w:t>
      </w:r>
    </w:p>
    <w:tbl>
      <w:tblPr>
        <w:tblStyle w:val="12"/>
        <w:tblW w:w="102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1335"/>
        <w:gridCol w:w="930"/>
        <w:gridCol w:w="1620"/>
        <w:gridCol w:w="521"/>
        <w:gridCol w:w="1200"/>
        <w:gridCol w:w="521"/>
        <w:gridCol w:w="1091"/>
        <w:gridCol w:w="505"/>
        <w:gridCol w:w="456"/>
        <w:gridCol w:w="1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02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51080023T000008618947-高层次人才安家补助和工作补助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33.20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33.20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0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kern w:val="0"/>
                <w:sz w:val="16"/>
                <w:szCs w:val="16"/>
              </w:rPr>
              <w:t>结合自评情况，说明项目自评总分98分</w:t>
            </w:r>
            <w:r>
              <w:rPr>
                <w:rFonts w:hint="eastAsia" w:ascii="微软雅黑" w:hAnsi="微软雅黑" w:eastAsia="微软雅黑" w:cs="微软雅黑"/>
                <w:color w:val="000000"/>
                <w:kern w:val="0"/>
                <w:sz w:val="16"/>
                <w:szCs w:val="16"/>
                <w:lang w:eastAsia="zh-CN"/>
              </w:rPr>
              <w:t>，</w:t>
            </w:r>
            <w:r>
              <w:rPr>
                <w:rFonts w:hint="eastAsia" w:ascii="微软雅黑" w:hAnsi="微软雅黑" w:eastAsia="微软雅黑" w:cs="微软雅黑"/>
                <w:color w:val="000000"/>
                <w:kern w:val="0"/>
                <w:sz w:val="16"/>
                <w:szCs w:val="16"/>
              </w:rPr>
              <w:t>在预算执行过程中，强化绩效监控管理。绩效指标设置的精准性、合理性</w:t>
            </w:r>
            <w:r>
              <w:rPr>
                <w:rFonts w:hint="eastAsia" w:ascii="微软雅黑" w:hAnsi="微软雅黑" w:eastAsia="微软雅黑" w:cs="微软雅黑"/>
                <w:color w:val="000000"/>
                <w:kern w:val="0"/>
                <w:sz w:val="16"/>
                <w:szCs w:val="16"/>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52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2"/>
        <w:rPr>
          <w:rFonts w:hint="eastAsia"/>
        </w:rPr>
      </w:pPr>
    </w:p>
    <w:p>
      <w:pPr>
        <w:rPr>
          <w:rFonts w:hint="eastAsia" w:ascii="黑体" w:hAnsi="黑体" w:eastAsia="黑体"/>
          <w:color w:val="auto"/>
          <w:sz w:val="44"/>
          <w:szCs w:val="44"/>
          <w:highlight w:val="none"/>
        </w:rPr>
      </w:pPr>
    </w:p>
    <w:p>
      <w:pPr>
        <w:pStyle w:val="6"/>
        <w:spacing w:before="93"/>
        <w:rPr>
          <w:rFonts w:hint="default" w:ascii="黑体" w:hAnsi="黑体" w:eastAsia="黑体"/>
          <w:color w:val="auto"/>
          <w:sz w:val="44"/>
          <w:szCs w:val="44"/>
          <w:highlight w:val="none"/>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41</w:t>
      </w:r>
    </w:p>
    <w:tbl>
      <w:tblPr>
        <w:tblStyle w:val="12"/>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1334"/>
        <w:gridCol w:w="930"/>
        <w:gridCol w:w="1619"/>
        <w:gridCol w:w="521"/>
        <w:gridCol w:w="1199"/>
        <w:gridCol w:w="521"/>
        <w:gridCol w:w="1091"/>
        <w:gridCol w:w="505"/>
        <w:gridCol w:w="456"/>
        <w:gridCol w:w="1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02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51080023T000008686974-首批“蜀道英才工程”入选者岗位激励资金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9.60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0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kern w:val="0"/>
                <w:sz w:val="16"/>
                <w:szCs w:val="16"/>
              </w:rPr>
              <w:t>结合自评情况，说明项目自评总分98分</w:t>
            </w:r>
            <w:r>
              <w:rPr>
                <w:rFonts w:hint="eastAsia" w:ascii="微软雅黑" w:hAnsi="微软雅黑" w:eastAsia="微软雅黑" w:cs="微软雅黑"/>
                <w:color w:val="000000"/>
                <w:kern w:val="0"/>
                <w:sz w:val="16"/>
                <w:szCs w:val="16"/>
                <w:lang w:eastAsia="zh-CN"/>
              </w:rPr>
              <w:t>，</w:t>
            </w:r>
            <w:r>
              <w:rPr>
                <w:rFonts w:hint="eastAsia" w:ascii="微软雅黑" w:hAnsi="微软雅黑" w:eastAsia="微软雅黑" w:cs="微软雅黑"/>
                <w:color w:val="000000"/>
                <w:kern w:val="0"/>
                <w:sz w:val="16"/>
                <w:szCs w:val="16"/>
              </w:rPr>
              <w:t>在预算执行过程中，强化绩效监控管理。绩效指标设置的精准性、合理性</w:t>
            </w:r>
            <w:r>
              <w:rPr>
                <w:rFonts w:hint="eastAsia" w:ascii="微软雅黑" w:hAnsi="微软雅黑" w:eastAsia="微软雅黑" w:cs="微软雅黑"/>
                <w:color w:val="000000"/>
                <w:kern w:val="0"/>
                <w:sz w:val="16"/>
                <w:szCs w:val="16"/>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2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6"/>
        <w:spacing w:before="93"/>
        <w:rPr>
          <w:rFonts w:hint="default" w:ascii="黑体" w:hAnsi="黑体" w:eastAsia="黑体"/>
          <w:color w:val="auto"/>
          <w:sz w:val="44"/>
          <w:szCs w:val="44"/>
          <w:highlight w:val="none"/>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42</w:t>
      </w:r>
    </w:p>
    <w:tbl>
      <w:tblPr>
        <w:tblStyle w:val="12"/>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1334"/>
        <w:gridCol w:w="930"/>
        <w:gridCol w:w="1619"/>
        <w:gridCol w:w="521"/>
        <w:gridCol w:w="1199"/>
        <w:gridCol w:w="521"/>
        <w:gridCol w:w="1091"/>
        <w:gridCol w:w="505"/>
        <w:gridCol w:w="456"/>
        <w:gridCol w:w="1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02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51080023T000008786921-科技拔尖人才2022年度岗位激励资金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0.72</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0.72</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0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kern w:val="0"/>
                <w:sz w:val="16"/>
                <w:szCs w:val="16"/>
              </w:rPr>
              <w:t>结合自评情况，说明项目自评总分98分</w:t>
            </w:r>
            <w:r>
              <w:rPr>
                <w:rFonts w:hint="eastAsia" w:ascii="微软雅黑" w:hAnsi="微软雅黑" w:eastAsia="微软雅黑" w:cs="微软雅黑"/>
                <w:color w:val="000000"/>
                <w:kern w:val="0"/>
                <w:sz w:val="16"/>
                <w:szCs w:val="16"/>
                <w:lang w:eastAsia="zh-CN"/>
              </w:rPr>
              <w:t>，</w:t>
            </w:r>
            <w:r>
              <w:rPr>
                <w:rFonts w:hint="eastAsia" w:ascii="微软雅黑" w:hAnsi="微软雅黑" w:eastAsia="微软雅黑" w:cs="微软雅黑"/>
                <w:color w:val="000000"/>
                <w:kern w:val="0"/>
                <w:sz w:val="16"/>
                <w:szCs w:val="16"/>
              </w:rPr>
              <w:t>在预算执行过程中，强化绩效监控管理。绩效指标设置的精准性、合理性</w:t>
            </w:r>
            <w:r>
              <w:rPr>
                <w:rFonts w:hint="eastAsia" w:ascii="微软雅黑" w:hAnsi="微软雅黑" w:eastAsia="微软雅黑" w:cs="微软雅黑"/>
                <w:color w:val="000000"/>
                <w:kern w:val="0"/>
                <w:sz w:val="16"/>
                <w:szCs w:val="16"/>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2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pStyle w:val="2"/>
        <w:jc w:val="both"/>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6"/>
        <w:spacing w:before="93"/>
        <w:rPr>
          <w:rFonts w:hint="default"/>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43</w:t>
      </w:r>
    </w:p>
    <w:tbl>
      <w:tblPr>
        <w:tblStyle w:val="12"/>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1334"/>
        <w:gridCol w:w="930"/>
        <w:gridCol w:w="1619"/>
        <w:gridCol w:w="521"/>
        <w:gridCol w:w="1199"/>
        <w:gridCol w:w="521"/>
        <w:gridCol w:w="1091"/>
        <w:gridCol w:w="505"/>
        <w:gridCol w:w="456"/>
        <w:gridCol w:w="1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102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51080023T000008788841-政府向社会购买公共文化服务示范项目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0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kern w:val="0"/>
                <w:sz w:val="16"/>
                <w:szCs w:val="16"/>
              </w:rPr>
              <w:t>结合自评情况，说明项目自评总分98分</w:t>
            </w:r>
            <w:r>
              <w:rPr>
                <w:rFonts w:hint="eastAsia" w:ascii="微软雅黑" w:hAnsi="微软雅黑" w:eastAsia="微软雅黑" w:cs="微软雅黑"/>
                <w:color w:val="000000"/>
                <w:kern w:val="0"/>
                <w:sz w:val="16"/>
                <w:szCs w:val="16"/>
                <w:lang w:eastAsia="zh-CN"/>
              </w:rPr>
              <w:t>，</w:t>
            </w:r>
            <w:r>
              <w:rPr>
                <w:rFonts w:hint="eastAsia" w:ascii="微软雅黑" w:hAnsi="微软雅黑" w:eastAsia="微软雅黑" w:cs="微软雅黑"/>
                <w:color w:val="000000"/>
                <w:kern w:val="0"/>
                <w:sz w:val="16"/>
                <w:szCs w:val="16"/>
              </w:rPr>
              <w:t>在预算执行过程中，强化绩效监控管理。绩效指标设置的精准性、合理性</w:t>
            </w:r>
            <w:r>
              <w:rPr>
                <w:rFonts w:hint="eastAsia" w:ascii="微软雅黑" w:hAnsi="微软雅黑" w:eastAsia="微软雅黑" w:cs="微软雅黑"/>
                <w:color w:val="000000"/>
                <w:kern w:val="0"/>
                <w:sz w:val="16"/>
                <w:szCs w:val="16"/>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2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6"/>
        <w:spacing w:before="93"/>
        <w:rPr>
          <w:rFonts w:hint="default" w:ascii="黑体" w:hAnsi="黑体" w:eastAsia="黑体"/>
          <w:color w:val="auto"/>
          <w:sz w:val="44"/>
          <w:szCs w:val="44"/>
          <w:highlight w:val="none"/>
          <w:lang w:val="en-US"/>
        </w:rPr>
      </w:pPr>
      <w:r>
        <w:rPr>
          <w:rFonts w:hint="eastAsia" w:ascii="黑体" w:hAnsi="黑体" w:eastAsia="黑体" w:cs="黑体"/>
          <w:sz w:val="32"/>
          <w:szCs w:val="32"/>
        </w:rPr>
        <w:t>附件</w:t>
      </w:r>
      <w:r>
        <w:rPr>
          <w:rFonts w:hint="eastAsia" w:ascii="黑体" w:hAnsi="黑体" w:eastAsia="黑体" w:cs="黑体"/>
          <w:sz w:val="32"/>
          <w:szCs w:val="32"/>
          <w:lang w:val="en-US" w:eastAsia="zh-CN"/>
        </w:rPr>
        <w:t>44</w:t>
      </w:r>
    </w:p>
    <w:tbl>
      <w:tblPr>
        <w:tblStyle w:val="12"/>
        <w:tblW w:w="10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1334"/>
        <w:gridCol w:w="930"/>
        <w:gridCol w:w="1619"/>
        <w:gridCol w:w="521"/>
        <w:gridCol w:w="1199"/>
        <w:gridCol w:w="521"/>
        <w:gridCol w:w="1091"/>
        <w:gridCol w:w="505"/>
        <w:gridCol w:w="456"/>
        <w:gridCol w:w="1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02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80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51080023T000008789021-文化艺术中心维修补助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广元市文化广播电视和旅游局部门</w:t>
            </w:r>
          </w:p>
        </w:tc>
        <w:tc>
          <w:tcPr>
            <w:tcW w:w="109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21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广元市文化广播电视和旅游局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3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47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32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80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0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color w:val="000000"/>
                <w:kern w:val="0"/>
                <w:sz w:val="16"/>
                <w:szCs w:val="16"/>
              </w:rPr>
              <w:t>结合自评情况，说明项目自评总分98分</w:t>
            </w:r>
            <w:r>
              <w:rPr>
                <w:rFonts w:hint="eastAsia" w:ascii="微软雅黑" w:hAnsi="微软雅黑" w:eastAsia="微软雅黑" w:cs="微软雅黑"/>
                <w:color w:val="000000"/>
                <w:kern w:val="0"/>
                <w:sz w:val="16"/>
                <w:szCs w:val="16"/>
                <w:lang w:eastAsia="zh-CN"/>
              </w:rPr>
              <w:t>，</w:t>
            </w:r>
            <w:r>
              <w:rPr>
                <w:rFonts w:hint="eastAsia" w:ascii="微软雅黑" w:hAnsi="微软雅黑" w:eastAsia="微软雅黑" w:cs="微软雅黑"/>
                <w:color w:val="000000"/>
                <w:kern w:val="0"/>
                <w:sz w:val="16"/>
                <w:szCs w:val="16"/>
              </w:rPr>
              <w:t>在预算执行过程中，强化绩效监控管理。绩效指标设置的精准性、合理性</w:t>
            </w:r>
            <w:r>
              <w:rPr>
                <w:rFonts w:hint="eastAsia" w:ascii="微软雅黑" w:hAnsi="微软雅黑" w:eastAsia="微软雅黑" w:cs="微软雅黑"/>
                <w:color w:val="000000"/>
                <w:kern w:val="0"/>
                <w:sz w:val="16"/>
                <w:szCs w:val="16"/>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934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52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w:t>
            </w:r>
          </w:p>
        </w:tc>
        <w:tc>
          <w:tcPr>
            <w:tcW w:w="49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w:t>
            </w:r>
          </w:p>
        </w:tc>
      </w:tr>
    </w:tbl>
    <w:p>
      <w:pPr>
        <w:spacing w:line="600" w:lineRule="exact"/>
        <w:jc w:val="both"/>
        <w:outlineLvl w:val="0"/>
        <w:rPr>
          <w:rFonts w:hint="eastAsia" w:ascii="黑体" w:hAnsi="黑体" w:eastAsia="黑体"/>
          <w:color w:val="auto"/>
          <w:sz w:val="44"/>
          <w:szCs w:val="44"/>
          <w:highlight w:val="none"/>
        </w:rPr>
      </w:pPr>
    </w:p>
    <w:p>
      <w:pPr>
        <w:spacing w:line="600" w:lineRule="exact"/>
        <w:jc w:val="center"/>
        <w:outlineLvl w:val="0"/>
        <w:rPr>
          <w:rStyle w:val="24"/>
          <w:rFonts w:hint="eastAsia" w:ascii="黑体" w:hAnsi="黑体" w:eastAsia="黑体"/>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73"/>
      <w:bookmarkEnd w:id="76"/>
      <w:bookmarkEnd w:id="77"/>
      <w:bookmarkStart w:id="78" w:name="_Toc15396619"/>
    </w:p>
    <w:p>
      <w:pPr>
        <w:pStyle w:val="2"/>
        <w:jc w:val="both"/>
        <w:rPr>
          <w:rFonts w:hint="eastAsia"/>
        </w:rPr>
      </w:pPr>
    </w:p>
    <w:p>
      <w:pPr>
        <w:pStyle w:val="4"/>
        <w:ind w:firstLine="1280" w:firstLineChars="400"/>
        <w:jc w:val="left"/>
        <w:rPr>
          <w:rFonts w:ascii="仿宋" w:hAnsi="仿宋" w:eastAsia="仿宋"/>
          <w:color w:val="auto"/>
          <w:highlight w:val="none"/>
        </w:rPr>
      </w:pPr>
      <w:bookmarkStart w:id="79" w:name="_Toc13203"/>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78"/>
      <w:bookmarkEnd w:id="79"/>
    </w:p>
    <w:p>
      <w:pPr>
        <w:pStyle w:val="4"/>
        <w:ind w:firstLine="1280" w:firstLineChars="400"/>
        <w:jc w:val="left"/>
        <w:rPr>
          <w:rFonts w:ascii="仿宋" w:hAnsi="仿宋" w:eastAsia="仿宋"/>
          <w:color w:val="auto"/>
          <w:highlight w:val="none"/>
        </w:rPr>
      </w:pPr>
      <w:bookmarkStart w:id="80" w:name="_Toc15396620"/>
      <w:bookmarkStart w:id="81" w:name="_Toc5847"/>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80"/>
      <w:bookmarkEnd w:id="81"/>
    </w:p>
    <w:p>
      <w:pPr>
        <w:pStyle w:val="4"/>
        <w:ind w:firstLine="1280" w:firstLineChars="400"/>
        <w:jc w:val="left"/>
        <w:rPr>
          <w:rFonts w:ascii="仿宋" w:hAnsi="仿宋" w:eastAsia="仿宋"/>
          <w:color w:val="auto"/>
          <w:highlight w:val="none"/>
        </w:rPr>
      </w:pPr>
      <w:bookmarkStart w:id="82" w:name="_Toc15396621"/>
      <w:bookmarkStart w:id="83" w:name="_Toc12070"/>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82"/>
      <w:bookmarkEnd w:id="83"/>
    </w:p>
    <w:p>
      <w:pPr>
        <w:pStyle w:val="4"/>
        <w:ind w:firstLine="1280" w:firstLineChars="400"/>
        <w:jc w:val="left"/>
        <w:rPr>
          <w:rFonts w:ascii="仿宋" w:hAnsi="仿宋" w:eastAsia="仿宋"/>
          <w:b w:val="0"/>
          <w:color w:val="auto"/>
          <w:highlight w:val="none"/>
        </w:rPr>
      </w:pPr>
      <w:bookmarkStart w:id="84" w:name="_Toc9428"/>
      <w:bookmarkStart w:id="85"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84"/>
      <w:bookmarkEnd w:id="85"/>
    </w:p>
    <w:p>
      <w:pPr>
        <w:pStyle w:val="4"/>
        <w:ind w:firstLine="1280" w:firstLineChars="400"/>
        <w:jc w:val="left"/>
        <w:rPr>
          <w:rStyle w:val="25"/>
          <w:rFonts w:ascii="仿宋" w:hAnsi="仿宋" w:eastAsia="仿宋"/>
          <w:b w:val="0"/>
          <w:bCs w:val="0"/>
          <w:color w:val="auto"/>
          <w:highlight w:val="none"/>
        </w:rPr>
      </w:pPr>
      <w:bookmarkStart w:id="86" w:name="_Toc14635"/>
      <w:bookmarkStart w:id="87"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86"/>
      <w:bookmarkEnd w:id="87"/>
      <w:bookmarkStart w:id="88" w:name="_Toc15396624"/>
    </w:p>
    <w:p>
      <w:pPr>
        <w:pStyle w:val="4"/>
        <w:ind w:firstLine="1280" w:firstLineChars="400"/>
        <w:jc w:val="left"/>
        <w:rPr>
          <w:rFonts w:ascii="仿宋" w:hAnsi="仿宋" w:eastAsia="仿宋"/>
          <w:color w:val="auto"/>
          <w:highlight w:val="none"/>
        </w:rPr>
      </w:pPr>
      <w:bookmarkStart w:id="89" w:name="_Toc18549"/>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88"/>
      <w:bookmarkEnd w:id="89"/>
    </w:p>
    <w:p>
      <w:pPr>
        <w:pStyle w:val="4"/>
        <w:ind w:firstLine="1280" w:firstLineChars="400"/>
        <w:jc w:val="left"/>
        <w:rPr>
          <w:rFonts w:ascii="仿宋" w:hAnsi="仿宋" w:eastAsia="仿宋"/>
          <w:color w:val="auto"/>
          <w:highlight w:val="none"/>
        </w:rPr>
      </w:pPr>
      <w:bookmarkStart w:id="90" w:name="_Toc15396625"/>
      <w:bookmarkStart w:id="91" w:name="_Toc28763"/>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90"/>
      <w:bookmarkEnd w:id="91"/>
    </w:p>
    <w:p>
      <w:pPr>
        <w:pStyle w:val="4"/>
        <w:ind w:firstLine="1280" w:firstLineChars="400"/>
        <w:jc w:val="left"/>
        <w:rPr>
          <w:rFonts w:ascii="仿宋" w:hAnsi="仿宋" w:eastAsia="仿宋"/>
          <w:color w:val="auto"/>
          <w:highlight w:val="none"/>
        </w:rPr>
      </w:pPr>
      <w:bookmarkStart w:id="92" w:name="_Toc15396626"/>
      <w:bookmarkStart w:id="93" w:name="_Toc1871"/>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92"/>
      <w:bookmarkEnd w:id="93"/>
    </w:p>
    <w:p>
      <w:pPr>
        <w:pStyle w:val="4"/>
        <w:ind w:firstLine="1280" w:firstLineChars="400"/>
        <w:jc w:val="left"/>
        <w:rPr>
          <w:rFonts w:ascii="仿宋" w:hAnsi="仿宋" w:eastAsia="仿宋"/>
          <w:color w:val="auto"/>
          <w:highlight w:val="none"/>
        </w:rPr>
      </w:pPr>
      <w:bookmarkStart w:id="94" w:name="_Toc9903"/>
      <w:bookmarkStart w:id="95"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94"/>
      <w:bookmarkEnd w:id="95"/>
    </w:p>
    <w:p>
      <w:pPr>
        <w:pStyle w:val="4"/>
        <w:ind w:firstLine="1280" w:firstLineChars="400"/>
        <w:jc w:val="left"/>
        <w:rPr>
          <w:rFonts w:ascii="仿宋" w:hAnsi="仿宋" w:eastAsia="仿宋"/>
          <w:color w:val="auto"/>
          <w:highlight w:val="none"/>
        </w:rPr>
      </w:pPr>
      <w:bookmarkStart w:id="96" w:name="_Toc15396628"/>
      <w:bookmarkStart w:id="97" w:name="_Toc11079"/>
      <w:r>
        <w:rPr>
          <w:rStyle w:val="25"/>
          <w:rFonts w:hint="eastAsia" w:ascii="仿宋" w:hAnsi="仿宋" w:eastAsia="仿宋"/>
          <w:b w:val="0"/>
          <w:bCs w:val="0"/>
          <w:color w:val="auto"/>
          <w:highlight w:val="none"/>
        </w:rPr>
        <w:t>十、</w:t>
      </w:r>
      <w:bookmarkEnd w:id="96"/>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bookmarkEnd w:id="97"/>
    </w:p>
    <w:p>
      <w:pPr>
        <w:pStyle w:val="4"/>
        <w:ind w:firstLine="1280" w:firstLineChars="400"/>
        <w:jc w:val="left"/>
        <w:rPr>
          <w:rFonts w:ascii="仿宋" w:hAnsi="仿宋" w:eastAsia="仿宋"/>
          <w:color w:val="auto"/>
          <w:highlight w:val="none"/>
        </w:rPr>
      </w:pPr>
      <w:bookmarkStart w:id="98" w:name="_Toc15396629"/>
      <w:bookmarkStart w:id="99" w:name="_Toc1796"/>
      <w:r>
        <w:rPr>
          <w:rStyle w:val="25"/>
          <w:rFonts w:hint="eastAsia" w:ascii="仿宋" w:hAnsi="仿宋" w:eastAsia="仿宋"/>
          <w:b w:val="0"/>
          <w:bCs w:val="0"/>
          <w:color w:val="auto"/>
          <w:highlight w:val="none"/>
        </w:rPr>
        <w:t>十一、</w:t>
      </w:r>
      <w:bookmarkEnd w:id="98"/>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bookmarkEnd w:id="99"/>
    </w:p>
    <w:p>
      <w:pPr>
        <w:pStyle w:val="4"/>
        <w:ind w:firstLine="1280" w:firstLineChars="400"/>
        <w:jc w:val="left"/>
        <w:rPr>
          <w:rFonts w:ascii="仿宋" w:hAnsi="仿宋" w:eastAsia="仿宋"/>
          <w:color w:val="auto"/>
          <w:highlight w:val="none"/>
        </w:rPr>
      </w:pPr>
      <w:bookmarkStart w:id="100" w:name="_Toc15396630"/>
      <w:bookmarkStart w:id="101" w:name="_Toc16939"/>
      <w:r>
        <w:rPr>
          <w:rStyle w:val="25"/>
          <w:rFonts w:hint="eastAsia" w:ascii="仿宋" w:hAnsi="仿宋" w:eastAsia="仿宋"/>
          <w:b w:val="0"/>
          <w:bCs w:val="0"/>
          <w:color w:val="auto"/>
          <w:highlight w:val="none"/>
        </w:rPr>
        <w:t>十二、</w:t>
      </w:r>
      <w:bookmarkEnd w:id="100"/>
      <w:r>
        <w:rPr>
          <w:rStyle w:val="25"/>
          <w:rFonts w:hint="eastAsia" w:ascii="仿宋" w:hAnsi="仿宋" w:eastAsia="仿宋"/>
          <w:b w:val="0"/>
          <w:bCs w:val="0"/>
          <w:color w:val="auto"/>
          <w:highlight w:val="none"/>
          <w:lang w:eastAsia="zh-CN"/>
        </w:rPr>
        <w:t>国有资本经营预算财政拨款支出决算表</w:t>
      </w:r>
      <w:bookmarkEnd w:id="101"/>
    </w:p>
    <w:p>
      <w:pPr>
        <w:pStyle w:val="4"/>
        <w:ind w:firstLine="1280" w:firstLineChars="400"/>
        <w:jc w:val="left"/>
        <w:rPr>
          <w:rFonts w:hint="eastAsia" w:eastAsia="仿宋"/>
          <w:color w:val="auto"/>
          <w:highlight w:val="none"/>
          <w:lang w:eastAsia="zh-CN"/>
        </w:rPr>
      </w:pPr>
      <w:bookmarkStart w:id="102" w:name="_Toc15396631"/>
      <w:bookmarkStart w:id="103" w:name="_Toc17612"/>
      <w:r>
        <w:rPr>
          <w:rStyle w:val="25"/>
          <w:rFonts w:hint="eastAsia" w:ascii="仿宋" w:hAnsi="仿宋" w:eastAsia="仿宋"/>
          <w:b w:val="0"/>
          <w:bCs w:val="0"/>
          <w:color w:val="auto"/>
          <w:highlight w:val="none"/>
        </w:rPr>
        <w:t>十三、</w:t>
      </w:r>
      <w:bookmarkEnd w:id="102"/>
      <w:r>
        <w:rPr>
          <w:rStyle w:val="25"/>
          <w:rFonts w:hint="eastAsia" w:ascii="仿宋" w:hAnsi="仿宋" w:eastAsia="仿宋"/>
          <w:b w:val="0"/>
          <w:bCs w:val="0"/>
          <w:color w:val="auto"/>
          <w:highlight w:val="none"/>
          <w:lang w:eastAsia="zh-CN"/>
        </w:rPr>
        <w:t>财政拨款“三公”经费支出决算表</w:t>
      </w:r>
      <w:bookmarkEnd w:id="103"/>
    </w:p>
    <w:sectPr>
      <w:headerReference r:id="rId3" w:type="default"/>
      <w:footerReference r:id="rId4" w:type="default"/>
      <w:pgSz w:w="11906" w:h="16838"/>
      <w:pgMar w:top="1440" w:right="1286" w:bottom="1440" w:left="540" w:header="851" w:footer="992" w:gutter="0"/>
      <w:pgBorders>
        <w:top w:val="none" w:sz="0" w:space="0"/>
        <w:left w:val="none" w:sz="0" w:space="0"/>
        <w:bottom w:val="none" w:sz="0" w:space="0"/>
        <w:right w:val="none" w:sz="0" w:space="0"/>
      </w:pgBorders>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ZTQ4NmIxM2U1NTI3ZDU4OWRlMmQyZTE3MWVjMW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E0259"/>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8F6EB2"/>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1DA2"/>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646099"/>
    <w:rsid w:val="01EB409A"/>
    <w:rsid w:val="027D6F13"/>
    <w:rsid w:val="02C91AF7"/>
    <w:rsid w:val="034C72DC"/>
    <w:rsid w:val="03F37758"/>
    <w:rsid w:val="04785550"/>
    <w:rsid w:val="049A5E25"/>
    <w:rsid w:val="04F44E03"/>
    <w:rsid w:val="0506170D"/>
    <w:rsid w:val="050F7B27"/>
    <w:rsid w:val="051F457C"/>
    <w:rsid w:val="053A62B5"/>
    <w:rsid w:val="05776166"/>
    <w:rsid w:val="05B1585A"/>
    <w:rsid w:val="05B72A07"/>
    <w:rsid w:val="06BA27AF"/>
    <w:rsid w:val="083E4E57"/>
    <w:rsid w:val="08C86C23"/>
    <w:rsid w:val="0A0A75A9"/>
    <w:rsid w:val="0A2032A3"/>
    <w:rsid w:val="0B8A37D8"/>
    <w:rsid w:val="0BCA5242"/>
    <w:rsid w:val="0BD16ADD"/>
    <w:rsid w:val="0C923886"/>
    <w:rsid w:val="0CD67685"/>
    <w:rsid w:val="0D0E5A63"/>
    <w:rsid w:val="0E0D461A"/>
    <w:rsid w:val="0E277851"/>
    <w:rsid w:val="0E497FFD"/>
    <w:rsid w:val="0F9B0CA3"/>
    <w:rsid w:val="0FB7636C"/>
    <w:rsid w:val="0FD7617F"/>
    <w:rsid w:val="10AA73F0"/>
    <w:rsid w:val="10AF2EE0"/>
    <w:rsid w:val="10C055FF"/>
    <w:rsid w:val="118107EC"/>
    <w:rsid w:val="11A42091"/>
    <w:rsid w:val="11DD6519"/>
    <w:rsid w:val="12144E0B"/>
    <w:rsid w:val="12411F32"/>
    <w:rsid w:val="12DE5BAC"/>
    <w:rsid w:val="134D2305"/>
    <w:rsid w:val="13987E00"/>
    <w:rsid w:val="13F146BC"/>
    <w:rsid w:val="146B1A58"/>
    <w:rsid w:val="147021E3"/>
    <w:rsid w:val="14A03BD1"/>
    <w:rsid w:val="150177FB"/>
    <w:rsid w:val="16BB723D"/>
    <w:rsid w:val="17135D46"/>
    <w:rsid w:val="17997E7F"/>
    <w:rsid w:val="18015F3F"/>
    <w:rsid w:val="183E2A42"/>
    <w:rsid w:val="18767EE0"/>
    <w:rsid w:val="187F5606"/>
    <w:rsid w:val="190E1590"/>
    <w:rsid w:val="19106593"/>
    <w:rsid w:val="19C5172E"/>
    <w:rsid w:val="19F97489"/>
    <w:rsid w:val="1A53412E"/>
    <w:rsid w:val="1A8F5A40"/>
    <w:rsid w:val="1AC6473C"/>
    <w:rsid w:val="1ADD3E8C"/>
    <w:rsid w:val="1AE5188A"/>
    <w:rsid w:val="1AE71CDD"/>
    <w:rsid w:val="1BC70BD2"/>
    <w:rsid w:val="1BE8440E"/>
    <w:rsid w:val="1D155CEE"/>
    <w:rsid w:val="1D65301C"/>
    <w:rsid w:val="1E2F53D8"/>
    <w:rsid w:val="1EA5405F"/>
    <w:rsid w:val="1F374D1F"/>
    <w:rsid w:val="20280331"/>
    <w:rsid w:val="202D5948"/>
    <w:rsid w:val="20606FD2"/>
    <w:rsid w:val="20A151A3"/>
    <w:rsid w:val="20F57F95"/>
    <w:rsid w:val="210C498A"/>
    <w:rsid w:val="21521B0A"/>
    <w:rsid w:val="218A3047"/>
    <w:rsid w:val="2221328A"/>
    <w:rsid w:val="229D0380"/>
    <w:rsid w:val="232C0139"/>
    <w:rsid w:val="23845882"/>
    <w:rsid w:val="23B558FB"/>
    <w:rsid w:val="23C25569"/>
    <w:rsid w:val="240371BF"/>
    <w:rsid w:val="24F42ED8"/>
    <w:rsid w:val="25710581"/>
    <w:rsid w:val="25711CC6"/>
    <w:rsid w:val="25C741E6"/>
    <w:rsid w:val="27054F28"/>
    <w:rsid w:val="274C2083"/>
    <w:rsid w:val="27842671"/>
    <w:rsid w:val="279D33B3"/>
    <w:rsid w:val="27BC2441"/>
    <w:rsid w:val="27FA6A57"/>
    <w:rsid w:val="286F2FA1"/>
    <w:rsid w:val="28AB1AFF"/>
    <w:rsid w:val="294E4832"/>
    <w:rsid w:val="29FD04D3"/>
    <w:rsid w:val="2A0F692F"/>
    <w:rsid w:val="2A856594"/>
    <w:rsid w:val="2ABE7A3E"/>
    <w:rsid w:val="2AEB1A29"/>
    <w:rsid w:val="2B0A0D5F"/>
    <w:rsid w:val="2B2E5A9D"/>
    <w:rsid w:val="2B3E6C5B"/>
    <w:rsid w:val="2B40523B"/>
    <w:rsid w:val="2C5456A6"/>
    <w:rsid w:val="2C6170A5"/>
    <w:rsid w:val="2CA234A8"/>
    <w:rsid w:val="2DA74F8B"/>
    <w:rsid w:val="2E620115"/>
    <w:rsid w:val="2E9B7D51"/>
    <w:rsid w:val="2EAB4607"/>
    <w:rsid w:val="2EB3416B"/>
    <w:rsid w:val="2EC27BA3"/>
    <w:rsid w:val="2EFA178C"/>
    <w:rsid w:val="2F063F34"/>
    <w:rsid w:val="2F564E48"/>
    <w:rsid w:val="2F9652B7"/>
    <w:rsid w:val="2FFA0C12"/>
    <w:rsid w:val="30B46D73"/>
    <w:rsid w:val="319F7F4E"/>
    <w:rsid w:val="34E95E89"/>
    <w:rsid w:val="353E4E22"/>
    <w:rsid w:val="35727C2D"/>
    <w:rsid w:val="36257414"/>
    <w:rsid w:val="36347381"/>
    <w:rsid w:val="363475D8"/>
    <w:rsid w:val="36FA437E"/>
    <w:rsid w:val="374B6987"/>
    <w:rsid w:val="383D272C"/>
    <w:rsid w:val="384D1386"/>
    <w:rsid w:val="390D7134"/>
    <w:rsid w:val="39AE70AB"/>
    <w:rsid w:val="39B1059B"/>
    <w:rsid w:val="39EE7A9E"/>
    <w:rsid w:val="3A5E2E76"/>
    <w:rsid w:val="3B443390"/>
    <w:rsid w:val="3C0C0783"/>
    <w:rsid w:val="3D8E1B4D"/>
    <w:rsid w:val="3DA46DF1"/>
    <w:rsid w:val="3E632E55"/>
    <w:rsid w:val="3F9F3A96"/>
    <w:rsid w:val="3FE61943"/>
    <w:rsid w:val="3FEE7F68"/>
    <w:rsid w:val="4004626D"/>
    <w:rsid w:val="409171B5"/>
    <w:rsid w:val="40E51BFB"/>
    <w:rsid w:val="41156B36"/>
    <w:rsid w:val="416E7E42"/>
    <w:rsid w:val="430C5449"/>
    <w:rsid w:val="431467C7"/>
    <w:rsid w:val="43892EBB"/>
    <w:rsid w:val="439671DC"/>
    <w:rsid w:val="43A0005B"/>
    <w:rsid w:val="43FB165C"/>
    <w:rsid w:val="44DF4BB3"/>
    <w:rsid w:val="44FB11ED"/>
    <w:rsid w:val="45F75F2C"/>
    <w:rsid w:val="46FD7762"/>
    <w:rsid w:val="47337F88"/>
    <w:rsid w:val="47AC157E"/>
    <w:rsid w:val="47B17A6A"/>
    <w:rsid w:val="47D450BD"/>
    <w:rsid w:val="48435459"/>
    <w:rsid w:val="484443D0"/>
    <w:rsid w:val="48BF60AB"/>
    <w:rsid w:val="493C27E9"/>
    <w:rsid w:val="496F39ED"/>
    <w:rsid w:val="49886BFF"/>
    <w:rsid w:val="49E01EA6"/>
    <w:rsid w:val="49E14F29"/>
    <w:rsid w:val="49FF41D3"/>
    <w:rsid w:val="4A5D6CA6"/>
    <w:rsid w:val="4A881849"/>
    <w:rsid w:val="4AE7522B"/>
    <w:rsid w:val="4B0B04B0"/>
    <w:rsid w:val="4B4F1775"/>
    <w:rsid w:val="4B575013"/>
    <w:rsid w:val="4BE068DB"/>
    <w:rsid w:val="4BF6002B"/>
    <w:rsid w:val="4BFC74E1"/>
    <w:rsid w:val="4C964210"/>
    <w:rsid w:val="4D072493"/>
    <w:rsid w:val="4D520771"/>
    <w:rsid w:val="4D88228C"/>
    <w:rsid w:val="4E1C0C26"/>
    <w:rsid w:val="4E7E543D"/>
    <w:rsid w:val="4ECE2238"/>
    <w:rsid w:val="4F697E9B"/>
    <w:rsid w:val="4F7B50E7"/>
    <w:rsid w:val="50083210"/>
    <w:rsid w:val="50A26CAE"/>
    <w:rsid w:val="50E948BA"/>
    <w:rsid w:val="51DB4B86"/>
    <w:rsid w:val="52BB4BBF"/>
    <w:rsid w:val="54000A0B"/>
    <w:rsid w:val="54230D2F"/>
    <w:rsid w:val="54D23DEC"/>
    <w:rsid w:val="552815B9"/>
    <w:rsid w:val="55333C3E"/>
    <w:rsid w:val="55CF6CBF"/>
    <w:rsid w:val="55FA2FD9"/>
    <w:rsid w:val="561D49C6"/>
    <w:rsid w:val="566B4385"/>
    <w:rsid w:val="56CB143B"/>
    <w:rsid w:val="57007337"/>
    <w:rsid w:val="57580F21"/>
    <w:rsid w:val="579D4B86"/>
    <w:rsid w:val="58382B00"/>
    <w:rsid w:val="58EE31BF"/>
    <w:rsid w:val="5A987886"/>
    <w:rsid w:val="5B305D11"/>
    <w:rsid w:val="5B3E6680"/>
    <w:rsid w:val="5C0C22DA"/>
    <w:rsid w:val="5CDA5CE1"/>
    <w:rsid w:val="5D0A139A"/>
    <w:rsid w:val="5D30300A"/>
    <w:rsid w:val="5E6E102A"/>
    <w:rsid w:val="5EB116BD"/>
    <w:rsid w:val="604858AA"/>
    <w:rsid w:val="604C539B"/>
    <w:rsid w:val="62360038"/>
    <w:rsid w:val="62883ABA"/>
    <w:rsid w:val="62BF00A6"/>
    <w:rsid w:val="62D812F2"/>
    <w:rsid w:val="63A059C6"/>
    <w:rsid w:val="63A21509"/>
    <w:rsid w:val="64151F48"/>
    <w:rsid w:val="64BA7A38"/>
    <w:rsid w:val="64CA39A1"/>
    <w:rsid w:val="64E831B8"/>
    <w:rsid w:val="65605444"/>
    <w:rsid w:val="66701D9C"/>
    <w:rsid w:val="6712451C"/>
    <w:rsid w:val="672A7AB8"/>
    <w:rsid w:val="67F51E74"/>
    <w:rsid w:val="68B10DA4"/>
    <w:rsid w:val="69630ADE"/>
    <w:rsid w:val="6A2904FB"/>
    <w:rsid w:val="6A5B7C61"/>
    <w:rsid w:val="6AD2649C"/>
    <w:rsid w:val="6B4355EC"/>
    <w:rsid w:val="6B7C59FB"/>
    <w:rsid w:val="6C0D721A"/>
    <w:rsid w:val="6C1C6EDD"/>
    <w:rsid w:val="6C205100"/>
    <w:rsid w:val="6C4A05C8"/>
    <w:rsid w:val="6C5C0714"/>
    <w:rsid w:val="6D2E412A"/>
    <w:rsid w:val="6D3B1A89"/>
    <w:rsid w:val="6D5700E3"/>
    <w:rsid w:val="6D7777CF"/>
    <w:rsid w:val="6DD864C0"/>
    <w:rsid w:val="6E3570EE"/>
    <w:rsid w:val="6E973C8D"/>
    <w:rsid w:val="6EC83A60"/>
    <w:rsid w:val="6F914B78"/>
    <w:rsid w:val="6FAE3E68"/>
    <w:rsid w:val="6FE8130D"/>
    <w:rsid w:val="706406DD"/>
    <w:rsid w:val="709D754D"/>
    <w:rsid w:val="70DF1913"/>
    <w:rsid w:val="70FE1F6A"/>
    <w:rsid w:val="71BF4EC2"/>
    <w:rsid w:val="7243380B"/>
    <w:rsid w:val="72541E8D"/>
    <w:rsid w:val="72734D90"/>
    <w:rsid w:val="72DF3671"/>
    <w:rsid w:val="735008A6"/>
    <w:rsid w:val="7412278C"/>
    <w:rsid w:val="75020307"/>
    <w:rsid w:val="755F1275"/>
    <w:rsid w:val="76D56837"/>
    <w:rsid w:val="76D8308D"/>
    <w:rsid w:val="7729597C"/>
    <w:rsid w:val="777547E2"/>
    <w:rsid w:val="77A25449"/>
    <w:rsid w:val="77DA2AD5"/>
    <w:rsid w:val="793A1DDD"/>
    <w:rsid w:val="79556C16"/>
    <w:rsid w:val="796E1A86"/>
    <w:rsid w:val="79E24222"/>
    <w:rsid w:val="79E7B28D"/>
    <w:rsid w:val="7A025901"/>
    <w:rsid w:val="7A2F50BF"/>
    <w:rsid w:val="7A7D6A55"/>
    <w:rsid w:val="7AC27491"/>
    <w:rsid w:val="7B407452"/>
    <w:rsid w:val="7B584A4B"/>
    <w:rsid w:val="7B722E89"/>
    <w:rsid w:val="7BCC2AB4"/>
    <w:rsid w:val="7D9176B5"/>
    <w:rsid w:val="7F0326EE"/>
    <w:rsid w:val="7F3E014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6">
    <w:name w:val="Body Text"/>
    <w:basedOn w:val="1"/>
    <w:link w:val="21"/>
    <w:qFormat/>
    <w:uiPriority w:val="99"/>
    <w:pPr>
      <w:spacing w:beforeLines="30"/>
    </w:pPr>
    <w:rPr>
      <w:rFonts w:ascii="仿宋" w:eastAsia="仿宋"/>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7"/>
    <w:semiHidden/>
    <w:unhideWhenUsed/>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10"/>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9"/>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6"/>
    <w:qFormat/>
    <w:locked/>
    <w:uiPriority w:val="99"/>
    <w:rPr>
      <w:rFonts w:ascii="仿宋" w:hAnsi="Times New Roman" w:eastAsia="仿宋"/>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8"/>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font21"/>
    <w:basedOn w:val="13"/>
    <w:qFormat/>
    <w:uiPriority w:val="0"/>
    <w:rPr>
      <w:rFonts w:hint="eastAsia" w:ascii="宋体" w:hAnsi="宋体" w:eastAsia="宋体" w:cs="宋体"/>
      <w:b/>
      <w:bCs/>
      <w:color w:val="000000"/>
      <w:sz w:val="18"/>
      <w:szCs w:val="18"/>
      <w:u w:val="none"/>
    </w:rPr>
  </w:style>
  <w:style w:type="character" w:customStyle="1" w:styleId="31">
    <w:name w:val="font3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4037;&#20316;&#31807;1.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4037;&#20316;&#318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收、支决算总计变动情况图（单位：万元）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val>
            <c:numRef>
              <c:f>[工作簿1]Sheet1!$E$15:$E$16</c:f>
              <c:numCache>
                <c:formatCode>General</c:formatCode>
                <c:ptCount val="2"/>
                <c:pt idx="0">
                  <c:v>10044.01</c:v>
                </c:pt>
                <c:pt idx="1">
                  <c:v>8541.25</c:v>
                </c:pt>
              </c:numCache>
            </c:numRef>
          </c:val>
        </c:ser>
        <c:dLbls>
          <c:showLegendKey val="0"/>
          <c:showVal val="1"/>
          <c:showCatName val="0"/>
          <c:showSerName val="0"/>
          <c:showPercent val="0"/>
          <c:showBubbleSize val="0"/>
        </c:dLbls>
        <c:gapWidth val="219"/>
        <c:overlap val="-27"/>
        <c:axId val="315039267"/>
        <c:axId val="657516533"/>
      </c:barChart>
      <c:catAx>
        <c:axId val="315039267"/>
        <c:scaling>
          <c:orientation val="minMax"/>
        </c:scaling>
        <c:delete val="1"/>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2021</a:t>
                </a:r>
                <a:r>
                  <a:rPr altLang="en-US"/>
                  <a:t>年度</a:t>
                </a:r>
                <a:r>
                  <a:rPr lang="en-US" altLang="zh-CN"/>
                  <a:t>                                                 2022</a:t>
                </a:r>
                <a:r>
                  <a:rPr altLang="en-US"/>
                  <a:t>年度</a:t>
                </a:r>
                <a:r>
                  <a:rPr lang="en-US" altLang="zh-CN"/>
                  <a:t>  </a:t>
                </a:r>
                <a:endParaRPr lang="en-US" altLang="zh-CN"/>
              </a:p>
            </c:rich>
          </c:tx>
          <c:layout>
            <c:manualLayout>
              <c:xMode val="edge"/>
              <c:yMode val="edge"/>
              <c:x val="0.269763888888889"/>
              <c:y val="0.886921549336831"/>
            </c:manualLayout>
          </c:layout>
          <c:overlay val="0"/>
          <c:spPr>
            <a:noFill/>
            <a:ln>
              <a:noFill/>
            </a:ln>
            <a:effectLst/>
          </c:spPr>
        </c:title>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57516533"/>
        <c:crosses val="autoZero"/>
        <c:auto val="1"/>
        <c:lblAlgn val="ctr"/>
        <c:lblOffset val="100"/>
        <c:noMultiLvlLbl val="0"/>
      </c:catAx>
      <c:valAx>
        <c:axId val="65751653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50392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收入决算结构图（单位：万元 ）</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[工作簿1]Sheet1!$D$42:$D$43</c:f>
              <c:strCache>
                <c:ptCount val="2"/>
                <c:pt idx="0">
                  <c:v>一般公共预算财政拨款收入</c:v>
                </c:pt>
                <c:pt idx="1">
                  <c:v>其他收入</c:v>
                </c:pt>
              </c:strCache>
            </c:strRef>
          </c:cat>
          <c:val>
            <c:numRef>
              <c:f>[工作簿1]Sheet1!$E$42:$E$43</c:f>
              <c:numCache>
                <c:formatCode>General</c:formatCode>
                <c:ptCount val="2"/>
                <c:pt idx="0">
                  <c:v>8324.09</c:v>
                </c:pt>
                <c:pt idx="1">
                  <c:v>1.73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支出决算结构图（单位：万元）</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[工作簿1]Sheet1!$D$78:$D$79</c:f>
              <c:strCache>
                <c:ptCount val="2"/>
                <c:pt idx="0">
                  <c:v>基本支出</c:v>
                </c:pt>
                <c:pt idx="1">
                  <c:v>项目支出</c:v>
                </c:pt>
              </c:strCache>
            </c:strRef>
          </c:cat>
          <c:val>
            <c:numRef>
              <c:f>[工作簿1]Sheet1!$E$78:$E$79</c:f>
              <c:numCache>
                <c:formatCode>General</c:formatCode>
                <c:ptCount val="2"/>
                <c:pt idx="0">
                  <c:v>1244.35</c:v>
                </c:pt>
                <c:pt idx="1">
                  <c:v>7243.89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财政拨款收、支决算总计变动情况（单位：万元）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[工作簿1]Sheet1!$D$97:$D$98</c:f>
              <c:strCache>
                <c:ptCount val="2"/>
                <c:pt idx="0">
                  <c:v>2021年财政拨款收、支总计</c:v>
                </c:pt>
                <c:pt idx="1">
                  <c:v>2022年财政拨款收、支总计</c:v>
                </c:pt>
              </c:strCache>
            </c:strRef>
          </c:cat>
          <c:val>
            <c:numRef>
              <c:f>[工作簿1]Sheet1!$E$97:$E$98</c:f>
              <c:numCache>
                <c:formatCode>General</c:formatCode>
                <c:ptCount val="2"/>
                <c:pt idx="0">
                  <c:v>10037.2</c:v>
                </c:pt>
                <c:pt idx="1">
                  <c:v>8539.52</c:v>
                </c:pt>
              </c:numCache>
            </c:numRef>
          </c:val>
        </c:ser>
        <c:dLbls>
          <c:showLegendKey val="0"/>
          <c:showVal val="1"/>
          <c:showCatName val="0"/>
          <c:showSerName val="0"/>
          <c:showPercent val="0"/>
          <c:showBubbleSize val="0"/>
        </c:dLbls>
        <c:gapWidth val="219"/>
        <c:overlap val="-27"/>
        <c:axId val="551612717"/>
        <c:axId val="436728225"/>
      </c:barChart>
      <c:catAx>
        <c:axId val="55161271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36728225"/>
        <c:crosses val="autoZero"/>
        <c:auto val="1"/>
        <c:lblAlgn val="ctr"/>
        <c:lblOffset val="100"/>
        <c:noMultiLvlLbl val="0"/>
      </c:catAx>
      <c:valAx>
        <c:axId val="43672822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161271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一般公共预算财政拨款支出决算变动情况（单位：万元）</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[工作簿1]Sheet1!$D$108:$D$109</c:f>
              <c:strCache>
                <c:ptCount val="2"/>
                <c:pt idx="0">
                  <c:v>2021年一般公共预算财政拨款支出</c:v>
                </c:pt>
                <c:pt idx="1">
                  <c:v>2022年一般公共预算财政拨款支出</c:v>
                </c:pt>
              </c:strCache>
            </c:strRef>
          </c:cat>
          <c:val>
            <c:numRef>
              <c:f>[工作簿1]Sheet1!$E$108:$E$109</c:f>
              <c:numCache>
                <c:formatCode>General</c:formatCode>
                <c:ptCount val="2"/>
                <c:pt idx="0">
                  <c:v>9821.94</c:v>
                </c:pt>
                <c:pt idx="1">
                  <c:v>8486.51</c:v>
                </c:pt>
              </c:numCache>
            </c:numRef>
          </c:val>
        </c:ser>
        <c:dLbls>
          <c:showLegendKey val="0"/>
          <c:showVal val="1"/>
          <c:showCatName val="0"/>
          <c:showSerName val="0"/>
          <c:showPercent val="0"/>
          <c:showBubbleSize val="0"/>
        </c:dLbls>
        <c:gapWidth val="219"/>
        <c:overlap val="-27"/>
        <c:axId val="857173334"/>
        <c:axId val="725096013"/>
      </c:barChart>
      <c:catAx>
        <c:axId val="85717333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5096013"/>
        <c:crosses val="autoZero"/>
        <c:auto val="1"/>
        <c:lblAlgn val="ctr"/>
        <c:lblOffset val="100"/>
        <c:noMultiLvlLbl val="0"/>
      </c:catAx>
      <c:valAx>
        <c:axId val="72509601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717333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一般公共预算财政拨款支出决算结构（单位：万元）</a:t>
            </a:r>
          </a:p>
        </c:rich>
      </c:tx>
      <c:layout>
        <c:manualLayout>
          <c:xMode val="edge"/>
          <c:yMode val="edge"/>
          <c:x val="0.0991862902231537"/>
          <c:y val="0.00692520775623269"/>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0"/>
              <c:layout>
                <c:manualLayout>
                  <c:x val="0.0506481753716518"/>
                  <c:y val="-0.03671970308209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50305252127096"/>
                  <c:y val="-0.083540754939235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33229912068794"/>
                  <c:y val="0.0656569070752237"/>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514778680664171"/>
                  <c:y val="-0.139316066620959"/>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111749346546871"/>
                  <c:y val="-0.033767726050874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[工作簿1.xlsx]Sheet1!$D$115:$D$120</c:f>
              <c:strCache>
                <c:ptCount val="6"/>
                <c:pt idx="0">
                  <c:v>一般公共服务支出</c:v>
                </c:pt>
                <c:pt idx="1">
                  <c:v>文化体育与传媒支出</c:v>
                </c:pt>
                <c:pt idx="2">
                  <c:v>社会保障和就业支出</c:v>
                </c:pt>
                <c:pt idx="3">
                  <c:v>卫生健康支出</c:v>
                </c:pt>
                <c:pt idx="4">
                  <c:v>交通运输支出</c:v>
                </c:pt>
                <c:pt idx="5">
                  <c:v>住房保障支出</c:v>
                </c:pt>
              </c:strCache>
            </c:strRef>
          </c:cat>
          <c:val>
            <c:numRef>
              <c:f>[工作簿1.xlsx]Sheet1!$E$115:$E$120</c:f>
              <c:numCache>
                <c:formatCode>General</c:formatCode>
                <c:ptCount val="6"/>
                <c:pt idx="0">
                  <c:v>22.13</c:v>
                </c:pt>
                <c:pt idx="1">
                  <c:v>1593.74</c:v>
                </c:pt>
                <c:pt idx="2">
                  <c:v>85.59</c:v>
                </c:pt>
                <c:pt idx="3">
                  <c:v>35.61</c:v>
                </c:pt>
                <c:pt idx="4">
                  <c:v>6675.86</c:v>
                </c:pt>
                <c:pt idx="5">
                  <c:v>73.57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“三公”经费财政拨款支出结构（单位：万元）</a:t>
            </a:r>
          </a:p>
        </c:rich>
      </c:tx>
      <c:layout>
        <c:manualLayout>
          <c:xMode val="edge"/>
          <c:yMode val="edge"/>
          <c:x val="0.0946527777777778"/>
          <c:y val="0.0423611111111111"/>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[工作簿1.xlsx]Sheet1!$D$128:$D$129</c:f>
              <c:strCache>
                <c:ptCount val="2"/>
                <c:pt idx="0">
                  <c:v>公务用车购置及运行维护费支出决算</c:v>
                </c:pt>
                <c:pt idx="1">
                  <c:v>公务接待费支出决算</c:v>
                </c:pt>
              </c:strCache>
            </c:strRef>
          </c:cat>
          <c:val>
            <c:numRef>
              <c:f>[工作簿1.xlsx]Sheet1!$E$128:$E$129</c:f>
              <c:numCache>
                <c:formatCode>General</c:formatCode>
                <c:ptCount val="2"/>
                <c:pt idx="0">
                  <c:v>32.76</c:v>
                </c:pt>
                <c:pt idx="1">
                  <c:v>3.47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50763888888889"/>
          <c:y val="0.87333165449508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7602</Words>
  <Characters>8288</Characters>
  <Lines>61</Lines>
  <Paragraphs>17</Paragraphs>
  <TotalTime>24</TotalTime>
  <ScaleCrop>false</ScaleCrop>
  <LinksUpToDate>false</LinksUpToDate>
  <CharactersWithSpaces>8485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土匪唱情歌</cp:lastModifiedBy>
  <cp:lastPrinted>2023-07-31T02:35:00Z</cp:lastPrinted>
  <dcterms:modified xsi:type="dcterms:W3CDTF">2023-10-18T07:26:54Z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FA25214645104E889A9839C51833556F_12</vt:lpwstr>
  </property>
</Properties>
</file>