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8441"/>
      <w:bookmarkStart w:id="4" w:name="_Toc15377193"/>
      <w:bookmarkStart w:id="5" w:name="_Toc31444"/>
      <w:bookmarkStart w:id="6" w:name="_Toc15396597"/>
      <w:bookmarkStart w:id="7" w:name="_Toc8247251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8" w:name="_Toc15396476"/>
      <w:bookmarkStart w:id="9" w:name="_Toc82472512"/>
      <w:bookmarkStart w:id="10" w:name="_Toc15377426"/>
      <w:bookmarkStart w:id="11" w:name="_Toc15396598"/>
      <w:bookmarkStart w:id="12" w:name="_Toc31811"/>
      <w:bookmarkStart w:id="13" w:name="_Toc15378442"/>
      <w:bookmarkStart w:id="14" w:name="_Toc15377194"/>
      <w:r>
        <w:rPr>
          <w:rFonts w:hint="eastAsia" w:ascii="方正小标宋简体" w:hAnsi="宋体" w:eastAsia="方正小标宋简体"/>
          <w:color w:val="000000"/>
          <w:sz w:val="72"/>
          <w:szCs w:val="72"/>
        </w:rPr>
        <w:t>广元市</w:t>
      </w:r>
      <w:bookmarkEnd w:id="0"/>
      <w:bookmarkStart w:id="15" w:name="_Toc15306268"/>
      <w:r>
        <w:rPr>
          <w:rFonts w:hint="eastAsia" w:ascii="方正小标宋简体" w:hAnsi="宋体" w:eastAsia="方正小标宋简体"/>
          <w:color w:val="000000"/>
          <w:sz w:val="72"/>
          <w:szCs w:val="72"/>
        </w:rPr>
        <w:t>千佛崖石刻艺术博物馆部门决算</w:t>
      </w:r>
      <w:bookmarkEnd w:id="8"/>
      <w:bookmarkEnd w:id="9"/>
      <w:bookmarkEnd w:id="10"/>
      <w:bookmarkEnd w:id="11"/>
      <w:bookmarkEnd w:id="12"/>
      <w:bookmarkEnd w:id="13"/>
      <w:bookmarkEnd w:id="14"/>
      <w:bookmarkEnd w:id="15"/>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年9月9日</w:t>
      </w:r>
    </w:p>
    <w:p/>
    <w:sdt>
      <w:sdtPr>
        <w:rPr>
          <w:rFonts w:ascii="宋体" w:hAnsi="宋体"/>
        </w:rPr>
        <w:id w:val="147464771"/>
        <w15:color w:val="DBDBDB"/>
        <w:docPartObj>
          <w:docPartGallery w:val="Table of Contents"/>
          <w:docPartUnique/>
        </w:docPartObj>
      </w:sdtPr>
      <w:sdtEndPr>
        <w:rPr>
          <w:rFonts w:ascii="宋体" w:hAnsi="宋体"/>
          <w:b/>
        </w:rPr>
      </w:sdtEndPr>
      <w:sdtContent>
        <w:p>
          <w:pPr>
            <w:rPr>
              <w:rFonts w:ascii="Times New Roman" w:hAnsi="Times New Roman" w:eastAsia="宋体" w:cs="Times New Roman"/>
              <w:b/>
              <w:kern w:val="2"/>
              <w:sz w:val="21"/>
              <w:szCs w:val="24"/>
              <w:lang w:val="en-US" w:eastAsia="zh-CN" w:bidi="ar-SA"/>
            </w:rPr>
          </w:pPr>
          <w:bookmarkStart w:id="16" w:name="_Toc15396599"/>
          <w:bookmarkStart w:id="17" w:name="_Toc15377196"/>
          <w:r>
            <w:rPr>
              <w:rFonts w:ascii="宋体" w:hAnsi="宋体"/>
            </w:rPr>
            <w:t>目录</w:t>
          </w:r>
          <w:r>
            <w:rPr>
              <w:kern w:val="0"/>
              <w:sz w:val="20"/>
              <w:szCs w:val="20"/>
            </w:rPr>
            <w:fldChar w:fldCharType="begin"/>
          </w:r>
          <w:r>
            <w:instrText xml:space="preserve">TOC \o "1-2" \h \u </w:instrText>
          </w:r>
          <w:r>
            <w:rPr>
              <w:kern w:val="0"/>
              <w:sz w:val="20"/>
              <w:szCs w:val="20"/>
            </w:rPr>
            <w:fldChar w:fldCharType="separate"/>
          </w:r>
        </w:p>
        <w:p>
          <w:pPr>
            <w:pStyle w:val="10"/>
            <w:tabs>
              <w:tab w:val="right" w:leader="dot" w:pos="8306"/>
              <w:tab w:val="clear" w:pos="8296"/>
            </w:tabs>
          </w:pPr>
        </w:p>
        <w:p>
          <w:pPr>
            <w:pStyle w:val="10"/>
            <w:tabs>
              <w:tab w:val="right" w:leader="dot" w:pos="8306"/>
              <w:tab w:val="clear" w:pos="8296"/>
            </w:tabs>
          </w:pPr>
          <w:r>
            <w:fldChar w:fldCharType="begin"/>
          </w:r>
          <w:r>
            <w:instrText xml:space="preserve"> HYPERLINK \l _Toc765 </w:instrText>
          </w:r>
          <w: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_Toc765 \h </w:instrText>
          </w:r>
          <w:r>
            <w:fldChar w:fldCharType="separate"/>
          </w:r>
          <w:r>
            <w:t>4</w:t>
          </w:r>
          <w:r>
            <w:fldChar w:fldCharType="end"/>
          </w:r>
          <w:r>
            <w:fldChar w:fldCharType="end"/>
          </w:r>
        </w:p>
        <w:p>
          <w:pPr>
            <w:pStyle w:val="11"/>
            <w:tabs>
              <w:tab w:val="right" w:leader="dot" w:pos="8306"/>
              <w:tab w:val="clear" w:pos="8296"/>
            </w:tabs>
          </w:pPr>
          <w:r>
            <w:fldChar w:fldCharType="begin"/>
          </w:r>
          <w:r>
            <w:instrText xml:space="preserve"> HYPERLINK \l _Toc15341 </w:instrText>
          </w:r>
          <w: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_Toc15341 \h </w:instrText>
          </w:r>
          <w:r>
            <w:fldChar w:fldCharType="separate"/>
          </w:r>
          <w:r>
            <w:t>4</w:t>
          </w:r>
          <w:r>
            <w:fldChar w:fldCharType="end"/>
          </w:r>
          <w:r>
            <w:fldChar w:fldCharType="end"/>
          </w:r>
        </w:p>
        <w:p>
          <w:pPr>
            <w:pStyle w:val="11"/>
            <w:tabs>
              <w:tab w:val="right" w:leader="dot" w:pos="8306"/>
              <w:tab w:val="clear" w:pos="8296"/>
            </w:tabs>
          </w:pPr>
          <w:r>
            <w:fldChar w:fldCharType="begin"/>
          </w:r>
          <w:r>
            <w:instrText xml:space="preserve"> HYPERLINK \l _Toc7985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_Toc7985 \h </w:instrText>
          </w:r>
          <w:r>
            <w:fldChar w:fldCharType="separate"/>
          </w:r>
          <w:r>
            <w:t>4</w:t>
          </w:r>
          <w:r>
            <w:fldChar w:fldCharType="end"/>
          </w:r>
          <w:r>
            <w:fldChar w:fldCharType="end"/>
          </w:r>
        </w:p>
        <w:p>
          <w:pPr>
            <w:pStyle w:val="10"/>
            <w:tabs>
              <w:tab w:val="right" w:leader="dot" w:pos="8306"/>
              <w:tab w:val="clear" w:pos="8296"/>
            </w:tabs>
          </w:pPr>
          <w:r>
            <w:fldChar w:fldCharType="begin"/>
          </w:r>
          <w:r>
            <w:instrText xml:space="preserve"> HYPERLINK \l _Toc10970 </w:instrText>
          </w:r>
          <w: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2020</w:t>
          </w:r>
          <w:r>
            <w:rPr>
              <w:rFonts w:hint="eastAsia" w:ascii="黑体" w:hAnsi="黑体" w:eastAsia="黑体"/>
              <w:bCs w:val="0"/>
            </w:rPr>
            <w:t>年度部门决算情况说明</w:t>
          </w:r>
          <w:r>
            <w:tab/>
          </w:r>
          <w:r>
            <w:fldChar w:fldCharType="begin"/>
          </w:r>
          <w:r>
            <w:instrText xml:space="preserve"> PAGEREF _Toc10970 \h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_Toc2164 </w:instrText>
          </w:r>
          <w:r>
            <w:fldChar w:fldCharType="separate"/>
          </w:r>
          <w:r>
            <w:rPr>
              <w:rFonts w:hint="default" w:ascii="黑体" w:hAnsi="黑体" w:eastAsia="黑体" w:cs="Times New Roman"/>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_Toc2164 \h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_Toc19221 </w:instrText>
          </w:r>
          <w:r>
            <w:fldChar w:fldCharType="separate"/>
          </w:r>
          <w:r>
            <w:rPr>
              <w:rFonts w:hint="default" w:ascii="黑体" w:hAnsi="黑体" w:eastAsia="黑体" w:cs="Times New Roman"/>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_Toc19221 \h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_Toc13028 </w:instrText>
          </w:r>
          <w:r>
            <w:fldChar w:fldCharType="separate"/>
          </w:r>
          <w:r>
            <w:rPr>
              <w:rFonts w:hint="default" w:ascii="黑体" w:hAnsi="黑体" w:eastAsia="黑体" w:cs="Times New Roman"/>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_Toc13028 \h </w:instrText>
          </w:r>
          <w:r>
            <w:fldChar w:fldCharType="separate"/>
          </w:r>
          <w:r>
            <w:t>6</w:t>
          </w:r>
          <w:r>
            <w:fldChar w:fldCharType="end"/>
          </w:r>
          <w:r>
            <w:fldChar w:fldCharType="end"/>
          </w:r>
        </w:p>
        <w:p>
          <w:pPr>
            <w:pStyle w:val="11"/>
            <w:tabs>
              <w:tab w:val="right" w:leader="dot" w:pos="8306"/>
              <w:tab w:val="clear" w:pos="8296"/>
            </w:tabs>
          </w:pPr>
          <w:r>
            <w:fldChar w:fldCharType="begin"/>
          </w:r>
          <w:r>
            <w:instrText xml:space="preserve"> HYPERLINK \l _Toc27940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_Toc27940 \h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_Toc9209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_Toc9209 \h </w:instrText>
          </w:r>
          <w:r>
            <w:fldChar w:fldCharType="separate"/>
          </w:r>
          <w:r>
            <w:t>7</w:t>
          </w:r>
          <w:r>
            <w:fldChar w:fldCharType="end"/>
          </w:r>
          <w:r>
            <w:fldChar w:fldCharType="end"/>
          </w:r>
        </w:p>
        <w:p>
          <w:pPr>
            <w:pStyle w:val="11"/>
            <w:tabs>
              <w:tab w:val="right" w:leader="dot" w:pos="8306"/>
              <w:tab w:val="clear" w:pos="8296"/>
            </w:tabs>
          </w:pPr>
          <w:r>
            <w:fldChar w:fldCharType="begin"/>
          </w:r>
          <w:r>
            <w:instrText xml:space="preserve"> HYPERLINK \l _Toc20919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_Toc20919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_Toc30903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_Toc30903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_Toc15933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_Toc15933 \h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_Toc7309 </w:instrText>
          </w:r>
          <w:r>
            <w:fldChar w:fldCharType="separate"/>
          </w: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_Toc7309 \h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_Toc6567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_Toc6567 \h </w:instrText>
          </w:r>
          <w:r>
            <w:fldChar w:fldCharType="separate"/>
          </w:r>
          <w:r>
            <w:t>12</w:t>
          </w:r>
          <w:r>
            <w:fldChar w:fldCharType="end"/>
          </w:r>
          <w:r>
            <w:fldChar w:fldCharType="end"/>
          </w:r>
        </w:p>
        <w:p>
          <w:pPr>
            <w:pStyle w:val="10"/>
            <w:tabs>
              <w:tab w:val="right" w:leader="dot" w:pos="8306"/>
              <w:tab w:val="clear" w:pos="8296"/>
            </w:tabs>
          </w:pPr>
          <w:r>
            <w:fldChar w:fldCharType="begin"/>
          </w:r>
          <w:r>
            <w:instrText xml:space="preserve"> HYPERLINK \l _Toc11303 </w:instrText>
          </w:r>
          <w: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_Toc11303 \h </w:instrText>
          </w:r>
          <w:r>
            <w:fldChar w:fldCharType="separate"/>
          </w:r>
          <w:r>
            <w:t>19</w:t>
          </w:r>
          <w:r>
            <w:fldChar w:fldCharType="end"/>
          </w:r>
          <w:r>
            <w:fldChar w:fldCharType="end"/>
          </w:r>
        </w:p>
        <w:p>
          <w:pPr>
            <w:pStyle w:val="10"/>
            <w:tabs>
              <w:tab w:val="right" w:leader="dot" w:pos="8306"/>
              <w:tab w:val="clear" w:pos="8296"/>
            </w:tabs>
          </w:pPr>
          <w:r>
            <w:fldChar w:fldCharType="begin"/>
          </w:r>
          <w:r>
            <w:instrText xml:space="preserve"> HYPERLINK \l _Toc8560 </w:instrText>
          </w:r>
          <w: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_Toc8560 \h </w:instrText>
          </w:r>
          <w:r>
            <w:fldChar w:fldCharType="separate"/>
          </w:r>
          <w:r>
            <w:t>21</w:t>
          </w:r>
          <w:r>
            <w:fldChar w:fldCharType="end"/>
          </w:r>
          <w:r>
            <w:fldChar w:fldCharType="end"/>
          </w:r>
        </w:p>
        <w:p>
          <w:pPr>
            <w:pStyle w:val="10"/>
            <w:tabs>
              <w:tab w:val="right" w:leader="dot" w:pos="8306"/>
              <w:tab w:val="clear" w:pos="8296"/>
            </w:tabs>
          </w:pPr>
          <w:r>
            <w:fldChar w:fldCharType="begin"/>
          </w:r>
          <w:r>
            <w:instrText xml:space="preserve"> HYPERLINK \l _Toc7335 </w:instrText>
          </w:r>
          <w: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_Toc7335 \h </w:instrText>
          </w:r>
          <w:r>
            <w:fldChar w:fldCharType="separate"/>
          </w:r>
          <w:r>
            <w:t>21</w:t>
          </w:r>
          <w:r>
            <w:fldChar w:fldCharType="end"/>
          </w:r>
          <w:r>
            <w:fldChar w:fldCharType="end"/>
          </w:r>
        </w:p>
        <w:p>
          <w:pPr>
            <w:pStyle w:val="11"/>
            <w:tabs>
              <w:tab w:val="right" w:leader="dot" w:pos="8306"/>
              <w:tab w:val="clear" w:pos="8296"/>
            </w:tabs>
          </w:pPr>
          <w:r>
            <w:fldChar w:fldCharType="begin"/>
          </w:r>
          <w:r>
            <w:instrText xml:space="preserve"> HYPERLINK \l _Toc13689 </w:instrText>
          </w:r>
          <w:r>
            <w:fldChar w:fldCharType="separate"/>
          </w:r>
          <w:r>
            <w:rPr>
              <w:rFonts w:hint="eastAsia"/>
            </w:rPr>
            <w:t>附件</w:t>
          </w:r>
          <w:r>
            <w:t>2</w:t>
          </w:r>
          <w:r>
            <w:tab/>
          </w:r>
          <w:r>
            <w:fldChar w:fldCharType="begin"/>
          </w:r>
          <w:r>
            <w:instrText xml:space="preserve"> PAGEREF _Toc13689 \h </w:instrText>
          </w:r>
          <w:r>
            <w:fldChar w:fldCharType="separate"/>
          </w:r>
          <w:r>
            <w:t>23</w:t>
          </w:r>
          <w:r>
            <w:fldChar w:fldCharType="end"/>
          </w:r>
          <w:r>
            <w:fldChar w:fldCharType="end"/>
          </w:r>
        </w:p>
        <w:p>
          <w:pPr>
            <w:pStyle w:val="11"/>
            <w:tabs>
              <w:tab w:val="right" w:leader="dot" w:pos="8306"/>
              <w:tab w:val="clear" w:pos="8296"/>
            </w:tabs>
          </w:pPr>
          <w:r>
            <w:fldChar w:fldCharType="begin"/>
          </w:r>
          <w:r>
            <w:instrText xml:space="preserve"> HYPERLINK \l _Toc14480 </w:instrText>
          </w:r>
          <w:r>
            <w:fldChar w:fldCharType="separate"/>
          </w:r>
          <w:r>
            <w:rPr>
              <w:rFonts w:hint="eastAsia"/>
            </w:rPr>
            <w:t>附件</w:t>
          </w:r>
          <w:r>
            <w:rPr>
              <w:rFonts w:hint="eastAsia"/>
              <w:lang w:val="en-US" w:eastAsia="zh-CN"/>
            </w:rPr>
            <w:t>3</w:t>
          </w:r>
          <w:r>
            <w:tab/>
          </w:r>
          <w:r>
            <w:fldChar w:fldCharType="begin"/>
          </w:r>
          <w:r>
            <w:instrText xml:space="preserve"> PAGEREF _Toc14480 \h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_Toc16342 </w:instrText>
          </w:r>
          <w:r>
            <w:fldChar w:fldCharType="separate"/>
          </w:r>
          <w:r>
            <w:rPr>
              <w:rFonts w:hint="eastAsia"/>
            </w:rPr>
            <w:t>附件</w:t>
          </w:r>
          <w:r>
            <w:rPr>
              <w:rFonts w:hint="eastAsia"/>
              <w:lang w:val="en-US" w:eastAsia="zh-CN"/>
            </w:rPr>
            <w:t>4</w:t>
          </w:r>
          <w:r>
            <w:tab/>
          </w:r>
          <w:r>
            <w:fldChar w:fldCharType="begin"/>
          </w:r>
          <w:r>
            <w:instrText xml:space="preserve"> PAGEREF _Toc16342 \h </w:instrText>
          </w:r>
          <w:r>
            <w:fldChar w:fldCharType="separate"/>
          </w:r>
          <w:r>
            <w:t>30</w:t>
          </w:r>
          <w:r>
            <w:fldChar w:fldCharType="end"/>
          </w:r>
          <w:r>
            <w:fldChar w:fldCharType="end"/>
          </w:r>
        </w:p>
        <w:p>
          <w:pPr>
            <w:pStyle w:val="11"/>
            <w:tabs>
              <w:tab w:val="right" w:leader="dot" w:pos="8306"/>
              <w:tab w:val="clear" w:pos="8296"/>
            </w:tabs>
          </w:pPr>
          <w:r>
            <w:fldChar w:fldCharType="begin"/>
          </w:r>
          <w:r>
            <w:instrText xml:space="preserve"> HYPERLINK \l _Toc19667 </w:instrText>
          </w:r>
          <w:r>
            <w:fldChar w:fldCharType="separate"/>
          </w:r>
          <w:r>
            <w:rPr>
              <w:rFonts w:hint="eastAsia"/>
            </w:rPr>
            <w:t>附件</w:t>
          </w:r>
          <w:r>
            <w:rPr>
              <w:rFonts w:hint="eastAsia"/>
              <w:lang w:val="en-US" w:eastAsia="zh-CN"/>
            </w:rPr>
            <w:t>5</w:t>
          </w:r>
          <w:r>
            <w:tab/>
          </w:r>
          <w:r>
            <w:fldChar w:fldCharType="begin"/>
          </w:r>
          <w:r>
            <w:instrText xml:space="preserve"> PAGEREF _Toc19667 \h </w:instrText>
          </w:r>
          <w:r>
            <w:fldChar w:fldCharType="separate"/>
          </w:r>
          <w:r>
            <w:t>35</w:t>
          </w:r>
          <w:r>
            <w:fldChar w:fldCharType="end"/>
          </w:r>
          <w:r>
            <w:fldChar w:fldCharType="end"/>
          </w:r>
        </w:p>
        <w:p>
          <w:pPr>
            <w:pStyle w:val="10"/>
            <w:tabs>
              <w:tab w:val="right" w:leader="dot" w:pos="8306"/>
              <w:tab w:val="clear" w:pos="8296"/>
            </w:tabs>
          </w:pPr>
          <w:r>
            <w:fldChar w:fldCharType="begin"/>
          </w:r>
          <w:r>
            <w:instrText xml:space="preserve"> HYPERLINK \l _Toc27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_Toc27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_Toc20348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_Toc20348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_Toc32222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_Toc32222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_Toc21652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_Toc21652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_Toc17554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_Toc17554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_Toc2857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_Toc2857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_Toc23266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_Toc23266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_Toc2985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_Toc2985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_Toc14899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_Toc14899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_Toc18920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_Toc18920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_Toc28414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_Toc28414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_Toc20622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_Toc20622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_Toc4374 </w:instrText>
          </w:r>
          <w: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_Toc4374 \h </w:instrText>
          </w:r>
          <w:r>
            <w:fldChar w:fldCharType="separate"/>
          </w:r>
          <w:r>
            <w:t>37</w:t>
          </w:r>
          <w:r>
            <w:fldChar w:fldCharType="end"/>
          </w:r>
          <w:r>
            <w:fldChar w:fldCharType="end"/>
          </w:r>
        </w:p>
        <w:p>
          <w:pPr>
            <w:pStyle w:val="11"/>
            <w:tabs>
              <w:tab w:val="right" w:leader="dot" w:pos="8306"/>
              <w:tab w:val="clear" w:pos="8296"/>
            </w:tabs>
          </w:pPr>
          <w:r>
            <w:fldChar w:fldCharType="begin"/>
          </w:r>
          <w:r>
            <w:instrText xml:space="preserve"> HYPERLINK \l _Toc22723 </w:instrText>
          </w:r>
          <w: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有资本经营预算财政拨款支出决算表</w:t>
          </w:r>
          <w:r>
            <w:tab/>
          </w:r>
          <w:r>
            <w:fldChar w:fldCharType="begin"/>
          </w:r>
          <w:r>
            <w:instrText xml:space="preserve"> PAGEREF _Toc22723 \h </w:instrText>
          </w:r>
          <w:r>
            <w:fldChar w:fldCharType="separate"/>
          </w:r>
          <w:r>
            <w:t>37</w:t>
          </w:r>
          <w:r>
            <w:fldChar w:fldCharType="end"/>
          </w:r>
          <w:r>
            <w:fldChar w:fldCharType="end"/>
          </w:r>
        </w:p>
        <w:p>
          <w:pPr>
            <w:jc w:val="center"/>
          </w:pPr>
          <w:r>
            <w:rPr>
              <w:b/>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16"/>
          <w:rFonts w:ascii="黑体" w:hAnsi="黑体" w:eastAsia="黑体"/>
          <w:b/>
          <w:bCs w:val="0"/>
        </w:rPr>
      </w:pPr>
      <w:bookmarkStart w:id="18" w:name="_Toc765"/>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6"/>
      <w:bookmarkEnd w:id="17"/>
      <w:bookmarkEnd w:id="18"/>
    </w:p>
    <w:p>
      <w:pPr>
        <w:widowControl/>
        <w:jc w:val="left"/>
        <w:rPr>
          <w:rFonts w:ascii="黑体" w:eastAsia="黑体"/>
          <w:color w:val="000000"/>
          <w:sz w:val="32"/>
          <w:szCs w:val="32"/>
        </w:rPr>
      </w:pPr>
    </w:p>
    <w:p>
      <w:pPr>
        <w:pStyle w:val="3"/>
        <w:rPr>
          <w:rStyle w:val="17"/>
          <w:rFonts w:ascii="仿宋" w:hAnsi="仿宋" w:eastAsia="仿宋"/>
          <w:b w:val="0"/>
          <w:bCs w:val="0"/>
        </w:rPr>
      </w:pPr>
      <w:bookmarkStart w:id="19" w:name="_Toc15377197"/>
      <w:bookmarkStart w:id="20" w:name="_Toc15341"/>
      <w:bookmarkStart w:id="21"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9"/>
      <w:bookmarkEnd w:id="20"/>
      <w:bookmarkEnd w:id="21"/>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2" w:name="_Toc15378445"/>
      <w:bookmarkStart w:id="23" w:name="_Toc15377198"/>
      <w:r>
        <w:rPr>
          <w:rFonts w:hint="eastAsia" w:ascii="仿宋" w:hAnsi="仿宋" w:eastAsia="仿宋"/>
          <w:bCs/>
          <w:color w:val="000000"/>
          <w:sz w:val="32"/>
          <w:szCs w:val="32"/>
        </w:rPr>
        <w:t>（一）主要职能。</w:t>
      </w:r>
      <w:bookmarkEnd w:id="22"/>
      <w:bookmarkEnd w:id="23"/>
    </w:p>
    <w:p>
      <w:pPr>
        <w:ind w:firstLine="640" w:firstLineChars="200"/>
        <w:rPr>
          <w:rFonts w:ascii="仿宋" w:hAnsi="仿宋" w:eastAsia="仿宋"/>
          <w:bCs/>
          <w:color w:val="000000"/>
          <w:sz w:val="32"/>
          <w:szCs w:val="32"/>
        </w:rPr>
      </w:pPr>
      <w:r>
        <w:rPr>
          <w:rFonts w:hint="eastAsia" w:ascii="仿宋" w:hAnsi="仿宋" w:eastAsia="仿宋" w:cs="仿宋"/>
          <w:sz w:val="32"/>
          <w:szCs w:val="32"/>
        </w:rPr>
        <w:t>我单位千佛崖石刻艺术博物馆是隶属于文广旅的二级事业单位，主要进行国家第一批重点文物千佛崖的保护与研究。</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4" w:name="_Toc15377199"/>
      <w:bookmarkStart w:id="25" w:name="_Toc15378446"/>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4"/>
      <w:bookmarkEnd w:id="25"/>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2020年因疫情影响我馆收入大幅度下跌，本年度除保证景区经营运行外，相关文保项目依旧稳步向前推进。</w:t>
      </w:r>
    </w:p>
    <w:p>
      <w:pPr>
        <w:pStyle w:val="3"/>
        <w:rPr>
          <w:rStyle w:val="17"/>
          <w:b w:val="0"/>
          <w:bCs w:val="0"/>
        </w:rPr>
      </w:pPr>
      <w:bookmarkStart w:id="26" w:name="_Toc7985"/>
      <w:bookmarkStart w:id="27" w:name="_Toc15396601"/>
      <w:bookmarkStart w:id="28" w:name="_Toc15377200"/>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6"/>
      <w:bookmarkEnd w:id="27"/>
      <w:bookmarkEnd w:id="28"/>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s="仿宋"/>
          <w:sz w:val="32"/>
          <w:szCs w:val="32"/>
        </w:rPr>
        <w:t>我单位千佛崖石刻艺术博物馆是隶属于文广旅的二级事业单位。无下属单位。</w:t>
      </w:r>
      <w:r>
        <w:rPr>
          <w:rFonts w:ascii="仿宋" w:hAnsi="仿宋" w:eastAsia="仿宋"/>
          <w:color w:val="000000"/>
          <w:sz w:val="32"/>
          <w:szCs w:val="32"/>
        </w:rPr>
        <w:br w:type="page"/>
      </w:r>
    </w:p>
    <w:p>
      <w:pPr>
        <w:pStyle w:val="2"/>
        <w:ind w:right="440"/>
        <w:jc w:val="right"/>
        <w:rPr>
          <w:rStyle w:val="16"/>
          <w:rFonts w:ascii="黑体" w:hAnsi="黑体" w:eastAsia="黑体"/>
          <w:b w:val="0"/>
          <w:bCs w:val="0"/>
        </w:rPr>
      </w:pPr>
      <w:bookmarkStart w:id="29" w:name="_Toc10970"/>
      <w:bookmarkStart w:id="30" w:name="_Toc15377204"/>
      <w:bookmarkStart w:id="31" w:name="_Toc15396602"/>
      <w:r>
        <w:rPr>
          <w:rFonts w:hint="eastAsia" w:ascii="黑体" w:hAnsi="黑体" w:eastAsia="黑体"/>
          <w:b w:val="0"/>
          <w:color w:val="000000"/>
        </w:rPr>
        <w:t>第二部分</w:t>
      </w:r>
      <w:r>
        <w:rPr>
          <w:rFonts w:ascii="黑体" w:hAnsi="黑体" w:eastAsia="黑体"/>
          <w:color w:val="000000"/>
        </w:rPr>
        <w:t xml:space="preserve"> </w:t>
      </w:r>
      <w:r>
        <w:rPr>
          <w:rStyle w:val="16"/>
          <w:rFonts w:ascii="黑体" w:hAnsi="黑体" w:eastAsia="黑体"/>
          <w:b w:val="0"/>
          <w:bCs w:val="0"/>
        </w:rPr>
        <w:t>2020</w:t>
      </w:r>
      <w:r>
        <w:rPr>
          <w:rStyle w:val="16"/>
          <w:rFonts w:hint="eastAsia" w:ascii="黑体" w:hAnsi="黑体" w:eastAsia="黑体"/>
          <w:b w:val="0"/>
          <w:bCs w:val="0"/>
        </w:rPr>
        <w:t>年度部门决算情况说明</w:t>
      </w:r>
      <w:bookmarkEnd w:id="29"/>
      <w:bookmarkEnd w:id="30"/>
      <w:bookmarkEnd w:id="31"/>
    </w:p>
    <w:p/>
    <w:p>
      <w:pPr>
        <w:pStyle w:val="27"/>
        <w:numPr>
          <w:ilvl w:val="0"/>
          <w:numId w:val="1"/>
        </w:numPr>
        <w:spacing w:line="600" w:lineRule="exact"/>
        <w:ind w:firstLineChars="0"/>
        <w:outlineLvl w:val="1"/>
        <w:rPr>
          <w:rStyle w:val="17"/>
          <w:rFonts w:ascii="黑体" w:hAnsi="黑体" w:eastAsia="黑体"/>
          <w:b w:val="0"/>
        </w:rPr>
      </w:pPr>
      <w:bookmarkStart w:id="32" w:name="_Toc15377205"/>
      <w:bookmarkStart w:id="33" w:name="_Toc15396603"/>
      <w:bookmarkStart w:id="34" w:name="_Toc2164"/>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2020</w:t>
      </w:r>
      <w:r>
        <w:rPr>
          <w:rFonts w:hint="eastAsia" w:ascii="仿宋" w:hAnsi="仿宋" w:eastAsia="仿宋"/>
          <w:sz w:val="32"/>
          <w:szCs w:val="32"/>
        </w:rPr>
        <w:t>年度收、支总</w:t>
      </w:r>
      <w:r>
        <w:rPr>
          <w:rFonts w:hint="eastAsia" w:ascii="仿宋" w:hAnsi="仿宋" w:eastAsia="仿宋"/>
          <w:color w:val="000000"/>
          <w:sz w:val="32"/>
          <w:szCs w:val="32"/>
        </w:rPr>
        <w:t>计</w:t>
      </w:r>
      <w:r>
        <w:rPr>
          <w:rFonts w:ascii="仿宋" w:hAnsi="仿宋" w:eastAsia="仿宋"/>
          <w:color w:val="000000"/>
          <w:sz w:val="32"/>
          <w:szCs w:val="32"/>
        </w:rPr>
        <w:t>2259</w:t>
      </w:r>
      <w:r>
        <w:rPr>
          <w:rFonts w:hint="eastAsia" w:ascii="仿宋" w:hAnsi="仿宋" w:eastAsia="仿宋"/>
          <w:color w:val="000000"/>
          <w:sz w:val="32"/>
          <w:szCs w:val="32"/>
        </w:rPr>
        <w:t>.23万元，与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ascii="仿宋" w:hAnsi="仿宋" w:eastAsia="仿宋"/>
          <w:color w:val="000000"/>
          <w:sz w:val="32"/>
          <w:szCs w:val="32"/>
        </w:rPr>
        <w:t>1273</w:t>
      </w:r>
      <w:r>
        <w:rPr>
          <w:rFonts w:hint="eastAsia" w:ascii="仿宋" w:hAnsi="仿宋" w:eastAsia="仿宋"/>
          <w:color w:val="000000"/>
          <w:sz w:val="32"/>
          <w:szCs w:val="32"/>
        </w:rPr>
        <w:t>.</w:t>
      </w:r>
      <w:r>
        <w:rPr>
          <w:rFonts w:ascii="仿宋" w:hAnsi="仿宋" w:eastAsia="仿宋"/>
          <w:color w:val="000000"/>
          <w:sz w:val="32"/>
          <w:szCs w:val="32"/>
        </w:rPr>
        <w:t>8</w:t>
      </w:r>
      <w:r>
        <w:rPr>
          <w:rFonts w:hint="eastAsia" w:ascii="仿宋" w:hAnsi="仿宋" w:eastAsia="仿宋"/>
          <w:color w:val="000000"/>
          <w:sz w:val="32"/>
          <w:szCs w:val="32"/>
        </w:rPr>
        <w:t>万元、下降</w:t>
      </w:r>
      <w:r>
        <w:rPr>
          <w:rFonts w:ascii="仿宋" w:hAnsi="仿宋" w:eastAsia="仿宋"/>
          <w:color w:val="000000"/>
          <w:sz w:val="32"/>
          <w:szCs w:val="32"/>
        </w:rPr>
        <w:t>36</w:t>
      </w:r>
      <w:r>
        <w:rPr>
          <w:rFonts w:hint="eastAsia" w:ascii="仿宋" w:hAnsi="仿宋" w:eastAsia="仿宋"/>
          <w:color w:val="000000"/>
          <w:sz w:val="32"/>
          <w:szCs w:val="32"/>
        </w:rPr>
        <w:t>%，主要变动原因一方面是因为2019年除本级财政收入外，还有国家文物局下达文物保护专项资金815万，及财政下达灾后重建欠款经费954万元均纳入本年财政收入中进行核算。；另一方面是因为2</w:t>
      </w:r>
      <w:r>
        <w:rPr>
          <w:rFonts w:ascii="仿宋" w:hAnsi="仿宋" w:eastAsia="仿宋"/>
          <w:color w:val="000000"/>
          <w:sz w:val="32"/>
          <w:szCs w:val="32"/>
        </w:rPr>
        <w:t>020</w:t>
      </w:r>
      <w:r>
        <w:rPr>
          <w:rFonts w:hint="eastAsia" w:ascii="仿宋" w:hAnsi="仿宋" w:eastAsia="仿宋"/>
          <w:color w:val="000000"/>
          <w:sz w:val="32"/>
          <w:szCs w:val="32"/>
        </w:rPr>
        <w:t>年厉行节约，压缩人员开支。</w:t>
      </w:r>
    </w:p>
    <w:p>
      <w:pPr>
        <w:spacing w:line="600" w:lineRule="exact"/>
        <w:ind w:firstLine="640" w:firstLineChars="200"/>
        <w:jc w:val="left"/>
        <w:rPr>
          <w:rFonts w:ascii="仿宋_GB2312" w:eastAsia="仿宋_GB2312"/>
          <w:color w:val="000000"/>
          <w:sz w:val="32"/>
          <w:szCs w:val="32"/>
        </w:rPr>
      </w:pPr>
      <w:r>
        <w:rPr>
          <w:rFonts w:hint="eastAsia" w:ascii="仿宋" w:hAnsi="仿宋" w:eastAsia="仿宋"/>
          <w:color w:val="000000"/>
          <w:sz w:val="32"/>
          <w:szCs w:val="32"/>
        </w:rPr>
        <w:drawing>
          <wp:anchor distT="0" distB="0" distL="114300" distR="114300" simplePos="0" relativeHeight="251659264" behindDoc="0" locked="0" layoutInCell="1" allowOverlap="1">
            <wp:simplePos x="0" y="0"/>
            <wp:positionH relativeFrom="column">
              <wp:posOffset>287020</wp:posOffset>
            </wp:positionH>
            <wp:positionV relativeFrom="paragraph">
              <wp:posOffset>89535</wp:posOffset>
            </wp:positionV>
            <wp:extent cx="5080000" cy="2458085"/>
            <wp:effectExtent l="4445" t="4445" r="20955"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7"/>
        <w:numPr>
          <w:ilvl w:val="0"/>
          <w:numId w:val="1"/>
        </w:numPr>
        <w:spacing w:line="600" w:lineRule="exact"/>
        <w:ind w:firstLineChars="0"/>
        <w:outlineLvl w:val="1"/>
        <w:rPr>
          <w:rStyle w:val="17"/>
          <w:rFonts w:ascii="黑体" w:hAnsi="黑体" w:eastAsia="黑体"/>
          <w:b w:val="0"/>
        </w:rPr>
      </w:pPr>
      <w:bookmarkStart w:id="35" w:name="_Toc15377206"/>
      <w:bookmarkStart w:id="36" w:name="_Toc15396604"/>
      <w:bookmarkStart w:id="37" w:name="_Toc19221"/>
      <w:r>
        <w:rPr>
          <w:rFonts w:hint="eastAsia" w:ascii="黑体" w:hAnsi="黑体" w:eastAsia="黑体"/>
          <w:color w:val="000000"/>
          <w:sz w:val="32"/>
          <w:szCs w:val="32"/>
        </w:rPr>
        <w:t>收</w:t>
      </w:r>
      <w:r>
        <w:rPr>
          <w:rStyle w:val="17"/>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82472519"/>
      <w:bookmarkStart w:id="39" w:name="_Toc6483"/>
      <w:r>
        <w:rPr>
          <w:rFonts w:ascii="仿宋" w:hAnsi="仿宋" w:eastAsia="仿宋"/>
          <w:color w:val="000000"/>
          <w:sz w:val="32"/>
          <w:szCs w:val="32"/>
        </w:rPr>
        <w:t>2020</w:t>
      </w:r>
      <w:r>
        <w:rPr>
          <w:rFonts w:hint="eastAsia" w:ascii="仿宋" w:hAnsi="仿宋" w:eastAsia="仿宋"/>
          <w:color w:val="000000"/>
          <w:sz w:val="32"/>
          <w:szCs w:val="32"/>
        </w:rPr>
        <w:t>年本年收入合计467.23万元，其中：一般公共预算财政拨款收入467.23万元，占100</w:t>
      </w:r>
      <w:r>
        <w:rPr>
          <w:rFonts w:ascii="仿宋" w:hAnsi="仿宋" w:eastAsia="仿宋"/>
          <w:color w:val="000000"/>
          <w:sz w:val="32"/>
          <w:szCs w:val="32"/>
        </w:rPr>
        <w:t>%</w:t>
      </w:r>
      <w:r>
        <w:rPr>
          <w:rFonts w:hint="eastAsia" w:ascii="仿宋" w:hAnsi="仿宋" w:eastAsia="仿宋"/>
          <w:color w:val="000000"/>
          <w:sz w:val="32"/>
          <w:szCs w:val="32"/>
        </w:rPr>
        <w:t>。</w:t>
      </w:r>
      <w:bookmarkEnd w:id="38"/>
      <w:bookmarkEnd w:id="3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0" locked="0" layoutInCell="1" allowOverlap="1">
            <wp:simplePos x="0" y="0"/>
            <wp:positionH relativeFrom="column">
              <wp:posOffset>410845</wp:posOffset>
            </wp:positionH>
            <wp:positionV relativeFrom="paragraph">
              <wp:posOffset>-3557905</wp:posOffset>
            </wp:positionV>
            <wp:extent cx="4947285" cy="3533775"/>
            <wp:effectExtent l="4445" t="4445" r="20320" b="62230"/>
            <wp:wrapTopAndBottom/>
            <wp:docPr id="3" name="图表 3" descr="7b0a202020202263686172745265734964223a202232303437313938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rPr>
          <w:rFonts w:ascii="仿宋_GB2312" w:eastAsia="仿宋_GB2312"/>
          <w:color w:val="FF0000"/>
          <w:sz w:val="32"/>
          <w:szCs w:val="32"/>
        </w:rPr>
      </w:pPr>
    </w:p>
    <w:p>
      <w:pPr>
        <w:pStyle w:val="27"/>
        <w:numPr>
          <w:ilvl w:val="0"/>
          <w:numId w:val="1"/>
        </w:numPr>
        <w:spacing w:line="600" w:lineRule="exact"/>
        <w:ind w:firstLineChars="0"/>
        <w:outlineLvl w:val="1"/>
        <w:rPr>
          <w:rStyle w:val="17"/>
          <w:rFonts w:ascii="黑体" w:hAnsi="黑体" w:eastAsia="黑体"/>
          <w:b w:val="0"/>
        </w:rPr>
      </w:pPr>
      <w:bookmarkStart w:id="40" w:name="_Toc15377207"/>
      <w:bookmarkStart w:id="41" w:name="_Toc13028"/>
      <w:bookmarkStart w:id="42" w:name="_Toc15396605"/>
      <w:r>
        <w:rPr>
          <w:rFonts w:hint="eastAsia" w:ascii="黑体" w:hAnsi="黑体" w:eastAsia="黑体"/>
          <w:color w:val="000000"/>
          <w:sz w:val="32"/>
          <w:szCs w:val="32"/>
        </w:rPr>
        <w:t>支</w:t>
      </w:r>
      <w:r>
        <w:rPr>
          <w:rStyle w:val="17"/>
          <w:rFonts w:hint="eastAsia" w:ascii="黑体" w:hAnsi="黑体" w:eastAsia="黑体"/>
          <w:b w:val="0"/>
        </w:rPr>
        <w:t>出决算情况说明</w:t>
      </w:r>
      <w:bookmarkEnd w:id="40"/>
      <w:bookmarkEnd w:id="41"/>
      <w:bookmarkEnd w:id="42"/>
    </w:p>
    <w:p>
      <w:pPr>
        <w:spacing w:line="600" w:lineRule="exact"/>
        <w:ind w:firstLine="640" w:firstLineChars="200"/>
        <w:outlineLvl w:val="1"/>
        <w:rPr>
          <w:rFonts w:ascii="仿宋_GB2312" w:eastAsia="仿宋_GB2312"/>
          <w:color w:val="FF0000"/>
          <w:sz w:val="32"/>
          <w:szCs w:val="32"/>
        </w:rPr>
      </w:pPr>
      <w:bookmarkStart w:id="43" w:name="_Toc17730"/>
      <w:bookmarkStart w:id="44" w:name="_Toc82472521"/>
      <w:r>
        <w:rPr>
          <w:rFonts w:hint="eastAsia" w:ascii="仿宋" w:hAnsi="仿宋" w:eastAsia="仿宋"/>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282575</wp:posOffset>
            </wp:positionH>
            <wp:positionV relativeFrom="paragraph">
              <wp:posOffset>837565</wp:posOffset>
            </wp:positionV>
            <wp:extent cx="5080000" cy="3810000"/>
            <wp:effectExtent l="4445" t="4445" r="20955" b="52705"/>
            <wp:wrapTopAndBottom/>
            <wp:docPr id="4" name="图表 4" descr="7b0a202020202263686172745265734964223a202232303236363732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年本年支出合计1740.72万元，其中：基本支出348.7万元，占20</w:t>
      </w:r>
      <w:r>
        <w:rPr>
          <w:rFonts w:ascii="仿宋" w:hAnsi="仿宋" w:eastAsia="仿宋"/>
          <w:color w:val="000000"/>
          <w:sz w:val="32"/>
          <w:szCs w:val="32"/>
        </w:rPr>
        <w:t>%</w:t>
      </w:r>
      <w:r>
        <w:rPr>
          <w:rFonts w:hint="eastAsia" w:ascii="仿宋" w:hAnsi="仿宋" w:eastAsia="仿宋"/>
          <w:color w:val="000000"/>
          <w:sz w:val="32"/>
          <w:szCs w:val="32"/>
        </w:rPr>
        <w:t>；项目支出1392.02万元，占80</w:t>
      </w:r>
      <w:r>
        <w:rPr>
          <w:rFonts w:ascii="仿宋" w:hAnsi="仿宋" w:eastAsia="仿宋"/>
          <w:color w:val="000000"/>
          <w:sz w:val="32"/>
          <w:szCs w:val="32"/>
        </w:rPr>
        <w:t>%</w:t>
      </w:r>
      <w:r>
        <w:rPr>
          <w:rFonts w:hint="eastAsia" w:ascii="仿宋" w:hAnsi="仿宋" w:eastAsia="仿宋"/>
          <w:color w:val="000000"/>
          <w:sz w:val="32"/>
          <w:szCs w:val="32"/>
        </w:rPr>
        <w:t>。</w:t>
      </w:r>
      <w:bookmarkEnd w:id="43"/>
      <w:bookmarkEnd w:id="44"/>
    </w:p>
    <w:p>
      <w:pPr>
        <w:spacing w:line="600" w:lineRule="exact"/>
        <w:ind w:firstLine="640" w:firstLineChars="200"/>
        <w:outlineLvl w:val="1"/>
        <w:rPr>
          <w:rStyle w:val="17"/>
          <w:rFonts w:ascii="黑体" w:hAnsi="黑体" w:eastAsia="黑体"/>
          <w:b w:val="0"/>
        </w:rPr>
      </w:pPr>
      <w:bookmarkStart w:id="45" w:name="_Toc27940"/>
      <w:bookmarkStart w:id="46" w:name="_Toc15377208"/>
      <w:bookmarkStart w:id="47" w:name="_Toc15396606"/>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45"/>
      <w:bookmarkEnd w:id="46"/>
      <w:bookmarkEnd w:id="47"/>
    </w:p>
    <w:p>
      <w:pPr>
        <w:spacing w:line="600" w:lineRule="exact"/>
        <w:ind w:firstLine="640" w:firstLineChars="200"/>
        <w:rPr>
          <w:rFonts w:hint="eastAsia" w:ascii="仿宋" w:hAnsi="仿宋" w:eastAsia="仿宋"/>
          <w:color w:val="000000"/>
          <w:sz w:val="32"/>
          <w:szCs w:val="32"/>
        </w:rPr>
      </w:pPr>
      <w:bookmarkStart w:id="48" w:name="_Toc15377209"/>
      <w:bookmarkStart w:id="49" w:name="_Toc15396607"/>
      <w:r>
        <w:rPr>
          <w:rFonts w:ascii="仿宋" w:hAnsi="仿宋" w:eastAsia="仿宋"/>
          <w:sz w:val="32"/>
          <w:szCs w:val="32"/>
        </w:rPr>
        <w:t>2020</w:t>
      </w:r>
      <w:r>
        <w:rPr>
          <w:rFonts w:hint="eastAsia" w:ascii="仿宋" w:hAnsi="仿宋" w:eastAsia="仿宋"/>
          <w:sz w:val="32"/>
          <w:szCs w:val="32"/>
        </w:rPr>
        <w:t>年度收、支总</w:t>
      </w:r>
      <w:r>
        <w:rPr>
          <w:rFonts w:hint="eastAsia" w:ascii="仿宋" w:hAnsi="仿宋" w:eastAsia="仿宋"/>
          <w:color w:val="000000"/>
          <w:sz w:val="32"/>
          <w:szCs w:val="32"/>
        </w:rPr>
        <w:t>计</w:t>
      </w:r>
      <w:r>
        <w:rPr>
          <w:rFonts w:ascii="仿宋" w:hAnsi="仿宋" w:eastAsia="仿宋"/>
          <w:color w:val="000000"/>
          <w:sz w:val="32"/>
          <w:szCs w:val="32"/>
        </w:rPr>
        <w:t>2259</w:t>
      </w:r>
      <w:r>
        <w:rPr>
          <w:rFonts w:hint="eastAsia" w:ascii="仿宋" w:hAnsi="仿宋" w:eastAsia="仿宋"/>
          <w:color w:val="000000"/>
          <w:sz w:val="32"/>
          <w:szCs w:val="32"/>
        </w:rPr>
        <w:t>.23万元，与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ascii="仿宋" w:hAnsi="仿宋" w:eastAsia="仿宋"/>
          <w:color w:val="000000"/>
          <w:sz w:val="32"/>
          <w:szCs w:val="32"/>
        </w:rPr>
        <w:t>1273</w:t>
      </w:r>
      <w:r>
        <w:rPr>
          <w:rFonts w:hint="eastAsia" w:ascii="仿宋" w:hAnsi="仿宋" w:eastAsia="仿宋"/>
          <w:color w:val="000000"/>
          <w:sz w:val="32"/>
          <w:szCs w:val="32"/>
        </w:rPr>
        <w:t>.</w:t>
      </w:r>
      <w:r>
        <w:rPr>
          <w:rFonts w:ascii="仿宋" w:hAnsi="仿宋" w:eastAsia="仿宋"/>
          <w:color w:val="000000"/>
          <w:sz w:val="32"/>
          <w:szCs w:val="32"/>
        </w:rPr>
        <w:t>8</w:t>
      </w:r>
      <w:r>
        <w:rPr>
          <w:rFonts w:hint="eastAsia" w:ascii="仿宋" w:hAnsi="仿宋" w:eastAsia="仿宋"/>
          <w:color w:val="000000"/>
          <w:sz w:val="32"/>
          <w:szCs w:val="32"/>
        </w:rPr>
        <w:t>万元、下降</w:t>
      </w:r>
      <w:r>
        <w:rPr>
          <w:rFonts w:ascii="仿宋" w:hAnsi="仿宋" w:eastAsia="仿宋"/>
          <w:color w:val="000000"/>
          <w:sz w:val="32"/>
          <w:szCs w:val="32"/>
        </w:rPr>
        <w:t>36</w:t>
      </w:r>
      <w:r>
        <w:rPr>
          <w:rFonts w:hint="eastAsia" w:ascii="仿宋" w:hAnsi="仿宋" w:eastAsia="仿宋"/>
          <w:color w:val="000000"/>
          <w:sz w:val="32"/>
          <w:szCs w:val="32"/>
        </w:rPr>
        <w:t>%，主要变动原因一方面是因为2019年除本级财政收入外，还有国家文物局下达文物保护专项资金815万，及财政下达灾后重建欠款经费954万元均纳入本年财政收入中进行核算。；另一方面是因为2</w:t>
      </w:r>
      <w:r>
        <w:rPr>
          <w:rFonts w:ascii="仿宋" w:hAnsi="仿宋" w:eastAsia="仿宋"/>
          <w:color w:val="000000"/>
          <w:sz w:val="32"/>
          <w:szCs w:val="32"/>
        </w:rPr>
        <w:t>020</w:t>
      </w:r>
      <w:r>
        <w:rPr>
          <w:rFonts w:hint="eastAsia" w:ascii="仿宋" w:hAnsi="仿宋" w:eastAsia="仿宋"/>
          <w:color w:val="000000"/>
          <w:sz w:val="32"/>
          <w:szCs w:val="32"/>
        </w:rPr>
        <w:t>年厉行节约，压缩人员开支。</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drawing>
          <wp:anchor distT="0" distB="0" distL="114300" distR="114300" simplePos="0" relativeHeight="251665408" behindDoc="0" locked="0" layoutInCell="1" allowOverlap="1">
            <wp:simplePos x="0" y="0"/>
            <wp:positionH relativeFrom="column">
              <wp:posOffset>141605</wp:posOffset>
            </wp:positionH>
            <wp:positionV relativeFrom="paragraph">
              <wp:posOffset>211455</wp:posOffset>
            </wp:positionV>
            <wp:extent cx="5080000" cy="2458085"/>
            <wp:effectExtent l="4445" t="4445" r="20955"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17"/>
          <w:rFonts w:ascii="黑体" w:hAnsi="黑体" w:eastAsia="黑体"/>
          <w:b w:val="0"/>
        </w:rPr>
      </w:pPr>
      <w:bookmarkStart w:id="50" w:name="_Toc9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48"/>
      <w:bookmarkEnd w:id="49"/>
      <w:bookmarkEnd w:id="50"/>
    </w:p>
    <w:p>
      <w:pPr>
        <w:spacing w:line="600" w:lineRule="exact"/>
        <w:ind w:firstLine="642" w:firstLineChars="200"/>
        <w:outlineLvl w:val="2"/>
        <w:rPr>
          <w:rFonts w:ascii="仿宋" w:hAnsi="仿宋" w:eastAsia="仿宋"/>
          <w:b/>
          <w:color w:val="000000"/>
          <w:sz w:val="32"/>
          <w:szCs w:val="32"/>
        </w:rPr>
      </w:pPr>
      <w:bookmarkStart w:id="51" w:name="_Toc15377210"/>
      <w:r>
        <w:rPr>
          <w:rFonts w:hint="eastAsia" w:ascii="仿宋" w:hAnsi="仿宋" w:eastAsia="仿宋"/>
          <w:b/>
          <w:color w:val="000000"/>
          <w:sz w:val="32"/>
          <w:szCs w:val="32"/>
        </w:rPr>
        <w:t>（一）一般公共预算财政拨款支出决算总体情况</w:t>
      </w:r>
      <w:bookmarkEnd w:id="5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年一般公共预算财政拨款支出1740.72万元，占本年支出合计的100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年相比，一般公共预算财政拨款支出总计减少656.44万元，下降27</w:t>
      </w:r>
      <w:r>
        <w:rPr>
          <w:rFonts w:ascii="仿宋" w:hAnsi="仿宋" w:eastAsia="仿宋"/>
          <w:color w:val="000000"/>
          <w:sz w:val="32"/>
          <w:szCs w:val="32"/>
        </w:rPr>
        <w:t>%</w:t>
      </w:r>
      <w:r>
        <w:rPr>
          <w:rFonts w:hint="eastAsia" w:ascii="仿宋" w:hAnsi="仿宋" w:eastAsia="仿宋"/>
          <w:color w:val="000000"/>
          <w:sz w:val="32"/>
          <w:szCs w:val="32"/>
        </w:rPr>
        <w:t>。主要变动原因是本年度文物保护专项项目支出减少、及2019年支出含灾后重建还款954万元。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222250</wp:posOffset>
            </wp:positionH>
            <wp:positionV relativeFrom="paragraph">
              <wp:posOffset>201930</wp:posOffset>
            </wp:positionV>
            <wp:extent cx="5080000" cy="3810000"/>
            <wp:effectExtent l="25400" t="25400" r="38100" b="31750"/>
            <wp:wrapTopAndBottom/>
            <wp:docPr id="5" name="图表 5" descr="7b0a202020202263686172745265734964223a202232303437323536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仿宋" w:hAnsi="仿宋" w:eastAsia="仿宋"/>
          <w:b/>
          <w:color w:val="000000"/>
          <w:sz w:val="32"/>
          <w:szCs w:val="32"/>
        </w:rPr>
      </w:pPr>
      <w:bookmarkStart w:id="52" w:name="_Toc15377211"/>
      <w:r>
        <w:rPr>
          <w:rFonts w:hint="eastAsia" w:ascii="仿宋" w:hAnsi="仿宋" w:eastAsia="仿宋"/>
          <w:b/>
          <w:color w:val="000000"/>
          <w:sz w:val="32"/>
          <w:szCs w:val="32"/>
        </w:rPr>
        <w:t>（二）一般公共预算财政拨款支出决算结构情况</w:t>
      </w:r>
      <w:bookmarkEnd w:id="5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年一般公共预算财政拨款支出1740.72万元，主要用于以下方面</w:t>
      </w:r>
      <w:r>
        <w:rPr>
          <w:rFonts w:ascii="仿宋" w:hAnsi="仿宋" w:eastAsia="仿宋"/>
          <w:color w:val="000000"/>
          <w:sz w:val="32"/>
          <w:szCs w:val="32"/>
        </w:rPr>
        <w:t>:</w:t>
      </w:r>
      <w:r>
        <w:rPr>
          <w:rFonts w:hint="eastAsia" w:ascii="仿宋" w:hAnsi="仿宋" w:eastAsia="仿宋"/>
          <w:color w:val="000000"/>
          <w:sz w:val="32"/>
          <w:szCs w:val="32"/>
        </w:rPr>
        <w:t>文化旅游体育与传媒（类）支出1671.96万元，占96</w:t>
      </w:r>
      <w:r>
        <w:rPr>
          <w:rFonts w:ascii="仿宋" w:hAnsi="仿宋" w:eastAsia="仿宋"/>
          <w:color w:val="000000"/>
          <w:sz w:val="32"/>
          <w:szCs w:val="32"/>
        </w:rPr>
        <w:t>%</w:t>
      </w:r>
      <w:r>
        <w:rPr>
          <w:rFonts w:hint="eastAsia" w:ascii="仿宋" w:hAnsi="仿宋" w:eastAsia="仿宋"/>
          <w:color w:val="000000"/>
          <w:sz w:val="32"/>
          <w:szCs w:val="32"/>
        </w:rPr>
        <w:t>；社会保障和就业（类）支出19.86万元，占1</w:t>
      </w:r>
      <w:r>
        <w:rPr>
          <w:rFonts w:ascii="仿宋" w:hAnsi="仿宋" w:eastAsia="仿宋"/>
          <w:color w:val="000000"/>
          <w:sz w:val="32"/>
          <w:szCs w:val="32"/>
        </w:rPr>
        <w:t>%</w:t>
      </w:r>
      <w:r>
        <w:rPr>
          <w:rFonts w:hint="eastAsia" w:ascii="仿宋" w:hAnsi="仿宋" w:eastAsia="仿宋"/>
          <w:color w:val="000000"/>
          <w:sz w:val="32"/>
          <w:szCs w:val="32"/>
        </w:rPr>
        <w:t>；卫生健康支出29.63万元，占2</w:t>
      </w:r>
      <w:r>
        <w:rPr>
          <w:rFonts w:ascii="仿宋" w:hAnsi="仿宋" w:eastAsia="仿宋"/>
          <w:color w:val="000000"/>
          <w:sz w:val="32"/>
          <w:szCs w:val="32"/>
        </w:rPr>
        <w:t>%</w:t>
      </w:r>
      <w:r>
        <w:rPr>
          <w:rFonts w:hint="eastAsia" w:ascii="仿宋" w:hAnsi="仿宋" w:eastAsia="仿宋"/>
          <w:color w:val="000000"/>
          <w:sz w:val="32"/>
          <w:szCs w:val="32"/>
        </w:rPr>
        <w:t>；住房保障支出19.27万元，占1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3360" behindDoc="0" locked="0" layoutInCell="1" allowOverlap="1">
            <wp:simplePos x="0" y="0"/>
            <wp:positionH relativeFrom="column">
              <wp:posOffset>238125</wp:posOffset>
            </wp:positionH>
            <wp:positionV relativeFrom="paragraph">
              <wp:posOffset>158750</wp:posOffset>
            </wp:positionV>
            <wp:extent cx="5080000" cy="3810000"/>
            <wp:effectExtent l="12700" t="12700" r="12700" b="63500"/>
            <wp:wrapTopAndBottom/>
            <wp:docPr id="6" name="图表 6" descr="7b0a202020202263686172745265734964223a2022323034373138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2" w:firstLineChars="200"/>
        <w:outlineLvl w:val="2"/>
        <w:rPr>
          <w:rFonts w:ascii="仿宋" w:hAnsi="仿宋" w:eastAsia="仿宋"/>
          <w:b/>
          <w:color w:val="000000"/>
          <w:sz w:val="32"/>
          <w:szCs w:val="32"/>
        </w:rPr>
      </w:pPr>
      <w:bookmarkStart w:id="53" w:name="_Toc15377212"/>
      <w:r>
        <w:rPr>
          <w:rFonts w:hint="eastAsia" w:ascii="仿宋" w:hAnsi="仿宋" w:eastAsia="仿宋"/>
          <w:b/>
          <w:color w:val="000000"/>
          <w:sz w:val="32"/>
          <w:szCs w:val="32"/>
        </w:rPr>
        <w:t>（三）一般公共预算财政拨款支出决算具体情况</w:t>
      </w:r>
      <w:bookmarkEnd w:id="53"/>
    </w:p>
    <w:p>
      <w:pPr>
        <w:spacing w:line="600" w:lineRule="exact"/>
        <w:ind w:firstLine="642" w:firstLineChars="200"/>
        <w:outlineLvl w:val="2"/>
        <w:rPr>
          <w:rFonts w:ascii="仿宋" w:hAnsi="仿宋" w:eastAsia="仿宋"/>
          <w:color w:val="FF0000"/>
          <w:sz w:val="32"/>
          <w:szCs w:val="32"/>
        </w:rPr>
      </w:pPr>
      <w:bookmarkStart w:id="54" w:name="_Toc15377444"/>
      <w:bookmarkStart w:id="55" w:name="_Toc15377213"/>
      <w:bookmarkStart w:id="56"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年一般公共预算支出决算数为1740.72</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完成预算77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54"/>
      <w:bookmarkEnd w:id="55"/>
      <w:bookmarkEnd w:id="56"/>
    </w:p>
    <w:p>
      <w:pPr>
        <w:numPr>
          <w:ilvl w:val="0"/>
          <w:numId w:val="2"/>
        </w:numPr>
        <w:spacing w:line="600" w:lineRule="exact"/>
        <w:ind w:firstLine="643"/>
        <w:rPr>
          <w:rStyle w:val="14"/>
          <w:rFonts w:ascii="仿宋" w:hAnsi="仿宋" w:eastAsia="仿宋"/>
          <w:b w:val="0"/>
          <w:bCs/>
          <w:color w:val="000000"/>
          <w:sz w:val="32"/>
          <w:szCs w:val="32"/>
        </w:rPr>
      </w:pPr>
      <w:r>
        <w:rPr>
          <w:rStyle w:val="14"/>
          <w:rFonts w:hint="eastAsia" w:ascii="仿宋" w:hAnsi="仿宋" w:eastAsia="仿宋"/>
          <w:bCs/>
          <w:color w:val="000000"/>
          <w:sz w:val="32"/>
          <w:szCs w:val="32"/>
        </w:rPr>
        <w:t>文化旅游体育与传媒（类）文物（款）文物保护（项）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支出决算为1392.02万元，完成预算7</w:t>
      </w:r>
      <w:r>
        <w:rPr>
          <w:rStyle w:val="14"/>
          <w:rFonts w:hint="eastAsia" w:ascii="仿宋" w:hAnsi="仿宋" w:eastAsia="仿宋"/>
          <w:b w:val="0"/>
          <w:bCs/>
          <w:color w:val="000000"/>
          <w:sz w:val="32"/>
          <w:szCs w:val="32"/>
          <w:lang w:val="en-US" w:eastAsia="zh-CN"/>
        </w:rPr>
        <w:t>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等于预算数的主要原因是文物保护工程项目进度并非在今年完工，结余资金全为文物保护专项资金。</w:t>
      </w:r>
    </w:p>
    <w:p>
      <w:pPr>
        <w:numPr>
          <w:ilvl w:val="0"/>
          <w:numId w:val="2"/>
        </w:numPr>
        <w:spacing w:line="600" w:lineRule="exact"/>
        <w:ind w:firstLine="643"/>
        <w:rPr>
          <w:rStyle w:val="14"/>
          <w:rFonts w:ascii="仿宋" w:hAnsi="仿宋" w:eastAsia="仿宋"/>
          <w:b w:val="0"/>
          <w:bCs/>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文化旅游体育与传媒（类）文物（款）博物馆（项）</w:t>
      </w:r>
      <w:r>
        <w:rPr>
          <w:rStyle w:val="14"/>
          <w:rFonts w:hint="eastAsia" w:ascii="仿宋" w:hAnsi="仿宋" w:eastAsia="仿宋"/>
          <w:b w:val="0"/>
          <w:bCs/>
          <w:color w:val="000000"/>
          <w:sz w:val="32"/>
          <w:szCs w:val="32"/>
        </w:rPr>
        <w:t>支出决算为279.94万元，完成预算100</w:t>
      </w:r>
      <w:r>
        <w:rPr>
          <w:rStyle w:val="14"/>
          <w:rFonts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社会保障和就业（类）行政事业单位养老支出（款）机关事业单位基本养老保险缴费支出（项）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支出决算为19.86万元，完成预算100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Fonts w:hint="eastAsia" w:ascii="仿宋" w:hAnsi="仿宋" w:eastAsia="仿宋"/>
          <w:b/>
          <w:bCs/>
          <w:color w:val="000000"/>
          <w:sz w:val="32"/>
          <w:szCs w:val="32"/>
        </w:rPr>
        <w:t>卫生健康</w:t>
      </w:r>
      <w:r>
        <w:rPr>
          <w:rStyle w:val="14"/>
          <w:rFonts w:hint="eastAsia" w:ascii="仿宋" w:hAnsi="仿宋" w:eastAsia="仿宋"/>
          <w:bCs/>
          <w:color w:val="000000"/>
          <w:sz w:val="32"/>
          <w:szCs w:val="32"/>
        </w:rPr>
        <w:t>（类）行政事业单位医疗（款）事业单位医疗（项）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支出决算为29.63万元，完成预算100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Fonts w:hint="eastAsia" w:ascii="仿宋" w:hAnsi="仿宋" w:eastAsia="仿宋"/>
          <w:b/>
          <w:bCs/>
          <w:color w:val="000000"/>
          <w:sz w:val="32"/>
          <w:szCs w:val="32"/>
        </w:rPr>
        <w:t>5.住房保障支出（类）住房改革支出（款） 住房公积金（项）：</w:t>
      </w:r>
      <w:r>
        <w:rPr>
          <w:rStyle w:val="14"/>
          <w:rFonts w:hint="eastAsia" w:ascii="仿宋" w:hAnsi="仿宋" w:eastAsia="仿宋"/>
          <w:b w:val="0"/>
          <w:bCs/>
          <w:color w:val="000000"/>
          <w:sz w:val="32"/>
          <w:szCs w:val="32"/>
        </w:rPr>
        <w:t>支出决算为19.27万元，完成预算100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17"/>
        </w:rPr>
      </w:pPr>
      <w:bookmarkStart w:id="57" w:name="_Toc15396608"/>
      <w:bookmarkStart w:id="58" w:name="_Toc15377214"/>
      <w:bookmarkStart w:id="59" w:name="_Toc20919"/>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57"/>
      <w:bookmarkEnd w:id="58"/>
      <w:bookmarkEnd w:id="59"/>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348.70</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239.44万元，主要包括：基本工资、津贴补贴、奖金、伙食补助费、绩效工资、机关事业单位基本养老保险缴费、职业年金缴费、其他社会保障缴费、其他工资福利支出、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xml:space="preserve"> </w:t>
      </w:r>
      <w:r>
        <w:rPr>
          <w:rFonts w:ascii="仿宋" w:hAnsi="仿宋" w:eastAsia="仿宋"/>
          <w:color w:val="000000"/>
          <w:sz w:val="32"/>
          <w:szCs w:val="32"/>
        </w:rPr>
        <w:t xml:space="preserve"> </w:t>
      </w: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109.26</w:t>
      </w:r>
      <w:r>
        <w:rPr>
          <w:rFonts w:hint="eastAsia" w:ascii="仿宋" w:hAnsi="仿宋" w:eastAsia="仿宋"/>
          <w:color w:val="000000"/>
          <w:sz w:val="32"/>
          <w:szCs w:val="32"/>
        </w:rPr>
        <w:t>万元，主要包括：办公费、印刷费、咨询费、手续费、水费、电费、邮电费、物业管理费、差旅费、维修（护）费、租赁费、会议费、培训费、公务接待费、</w:t>
      </w:r>
      <w:r>
        <w:rPr>
          <w:rFonts w:hint="eastAsia" w:ascii="仿宋" w:hAnsi="仿宋" w:eastAsia="仿宋"/>
          <w:color w:val="000000"/>
          <w:sz w:val="32"/>
          <w:szCs w:val="32"/>
          <w:lang w:eastAsia="zh-CN"/>
        </w:rPr>
        <w:t>专业材料费</w:t>
      </w:r>
      <w:r>
        <w:rPr>
          <w:rFonts w:hint="eastAsia" w:ascii="仿宋" w:hAnsi="仿宋" w:eastAsia="仿宋"/>
          <w:color w:val="000000"/>
          <w:sz w:val="32"/>
          <w:szCs w:val="32"/>
        </w:rPr>
        <w:t>、委托业务费、工会经费、福利费、公务用车运行维护费、其他交通费、税金及附加费用、其他商品和服务支出等。</w:t>
      </w:r>
    </w:p>
    <w:p>
      <w:pPr>
        <w:spacing w:line="600" w:lineRule="exact"/>
        <w:ind w:firstLine="640"/>
        <w:outlineLvl w:val="1"/>
        <w:rPr>
          <w:rStyle w:val="17"/>
          <w:rFonts w:ascii="黑体" w:hAnsi="黑体" w:eastAsia="黑体"/>
          <w:b w:val="0"/>
        </w:rPr>
      </w:pPr>
      <w:bookmarkStart w:id="60" w:name="_Toc30903"/>
      <w:bookmarkStart w:id="61" w:name="_Toc15396609"/>
      <w:bookmarkStart w:id="62"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60"/>
      <w:bookmarkEnd w:id="61"/>
      <w:bookmarkEnd w:id="62"/>
    </w:p>
    <w:p>
      <w:pPr>
        <w:spacing w:line="600" w:lineRule="exact"/>
        <w:ind w:firstLine="640"/>
        <w:outlineLvl w:val="2"/>
        <w:rPr>
          <w:rFonts w:ascii="仿宋" w:hAnsi="仿宋" w:eastAsia="仿宋"/>
          <w:b/>
          <w:color w:val="000000"/>
          <w:sz w:val="32"/>
          <w:szCs w:val="32"/>
        </w:rPr>
      </w:pPr>
      <w:bookmarkStart w:id="63" w:name="_Toc15377216"/>
      <w:r>
        <w:rPr>
          <w:rFonts w:hint="eastAsia" w:ascii="仿宋" w:hAnsi="仿宋" w:eastAsia="仿宋"/>
          <w:b/>
          <w:color w:val="000000"/>
          <w:sz w:val="32"/>
          <w:szCs w:val="32"/>
        </w:rPr>
        <w:t>（一）“三公”经费财政拨款支出决算总体情况说明</w:t>
      </w:r>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年“三公”经费财政拨款支出决算为3.54万元，完成预算68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4" w:name="_Toc15377217"/>
      <w:r>
        <w:rPr>
          <w:rFonts w:hint="eastAsia" w:ascii="仿宋" w:hAnsi="仿宋" w:eastAsia="仿宋"/>
          <w:b/>
          <w:color w:val="000000"/>
          <w:sz w:val="32"/>
          <w:szCs w:val="32"/>
        </w:rPr>
        <w:t>（二）“三公”经费财政拨款支出决算具体情况说明</w:t>
      </w:r>
      <w:bookmarkEnd w:id="6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年“三公”经费财政拨款支出决算中，公务用车购置及运行维护费支出决算2.88万元，占81</w:t>
      </w:r>
      <w:r>
        <w:rPr>
          <w:rFonts w:ascii="仿宋" w:hAnsi="仿宋" w:eastAsia="仿宋"/>
          <w:color w:val="000000"/>
          <w:sz w:val="32"/>
          <w:szCs w:val="32"/>
        </w:rPr>
        <w:t>%</w:t>
      </w:r>
      <w:r>
        <w:rPr>
          <w:rFonts w:hint="eastAsia" w:ascii="仿宋" w:hAnsi="仿宋" w:eastAsia="仿宋"/>
          <w:color w:val="000000"/>
          <w:sz w:val="32"/>
          <w:szCs w:val="32"/>
        </w:rPr>
        <w:t>；公务接待费支出决算0.66万元，占19</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248920</wp:posOffset>
            </wp:positionH>
            <wp:positionV relativeFrom="paragraph">
              <wp:posOffset>95250</wp:posOffset>
            </wp:positionV>
            <wp:extent cx="5080000" cy="3810000"/>
            <wp:effectExtent l="4445" t="4445" r="20955" b="52705"/>
            <wp:wrapTopAndBottom/>
            <wp:docPr id="7" name="图表 7" descr="7b0a202020202263686172745265734964223a202232303437323030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numPr>
          <w:ilvl w:val="0"/>
          <w:numId w:val="3"/>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2.88万元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完成预算99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年减少0.24万元，下降8</w:t>
      </w:r>
      <w:r>
        <w:rPr>
          <w:rFonts w:ascii="仿宋" w:hAnsi="仿宋" w:eastAsia="仿宋"/>
          <w:color w:val="000000"/>
          <w:sz w:val="32"/>
          <w:szCs w:val="32"/>
        </w:rPr>
        <w:t>%</w:t>
      </w:r>
      <w:r>
        <w:rPr>
          <w:rFonts w:hint="eastAsia" w:ascii="仿宋" w:hAnsi="仿宋" w:eastAsia="仿宋"/>
          <w:color w:val="000000"/>
          <w:sz w:val="32"/>
          <w:szCs w:val="32"/>
        </w:rPr>
        <w:t>。主要原因是厉行节约压缩三公经费开支。</w:t>
      </w:r>
    </w:p>
    <w:p>
      <w:pPr>
        <w:spacing w:line="60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2.88万元。</w:t>
      </w:r>
      <w:r>
        <w:rPr>
          <w:rFonts w:hint="eastAsia" w:ascii="仿宋" w:hAnsi="仿宋" w:eastAsia="仿宋"/>
          <w:color w:val="000000"/>
          <w:sz w:val="32"/>
          <w:szCs w:val="32"/>
        </w:rPr>
        <w:t>主要用于单位</w:t>
      </w:r>
      <w:r>
        <w:rPr>
          <w:rFonts w:hint="eastAsia" w:ascii="仿宋" w:hAnsi="仿宋" w:eastAsia="仿宋"/>
          <w:color w:val="000000"/>
          <w:sz w:val="32"/>
          <w:szCs w:val="32"/>
          <w:lang w:eastAsia="zh-CN"/>
        </w:rPr>
        <w:t>公务用车</w:t>
      </w:r>
      <w:r>
        <w:rPr>
          <w:rFonts w:hint="eastAsia" w:ascii="仿宋" w:hAnsi="仿宋" w:eastAsia="仿宋"/>
          <w:color w:val="000000"/>
          <w:sz w:val="32"/>
          <w:szCs w:val="32"/>
        </w:rPr>
        <w:t>用车所需的燃料费、维修费、过路过桥费、保险费等支出。</w:t>
      </w:r>
    </w:p>
    <w:p>
      <w:pPr>
        <w:spacing w:line="600" w:lineRule="exact"/>
        <w:ind w:firstLine="640"/>
        <w:rPr>
          <w:rFonts w:ascii="仿宋" w:hAnsi="仿宋" w:eastAsia="仿宋"/>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0.66万元，</w:t>
      </w:r>
      <w:r>
        <w:rPr>
          <w:rStyle w:val="14"/>
          <w:rFonts w:hint="eastAsia" w:ascii="仿宋" w:hAnsi="仿宋" w:eastAsia="仿宋"/>
          <w:b w:val="0"/>
          <w:bCs/>
          <w:color w:val="000000"/>
          <w:sz w:val="32"/>
          <w:szCs w:val="32"/>
        </w:rPr>
        <w:t>完成预算29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2019</w:t>
      </w:r>
      <w:r>
        <w:rPr>
          <w:rFonts w:hint="eastAsia" w:ascii="仿宋" w:hAnsi="仿宋" w:eastAsia="仿宋"/>
          <w:color w:val="000000"/>
          <w:sz w:val="32"/>
          <w:szCs w:val="32"/>
        </w:rPr>
        <w:t>年减少2.04万元，下降76</w:t>
      </w:r>
      <w:r>
        <w:rPr>
          <w:rFonts w:ascii="仿宋" w:hAnsi="仿宋" w:eastAsia="仿宋"/>
          <w:color w:val="000000"/>
          <w:sz w:val="32"/>
          <w:szCs w:val="32"/>
        </w:rPr>
        <w:t>%</w:t>
      </w:r>
      <w:r>
        <w:rPr>
          <w:rFonts w:hint="eastAsia" w:ascii="仿宋" w:hAnsi="仿宋" w:eastAsia="仿宋"/>
          <w:color w:val="000000"/>
          <w:sz w:val="32"/>
          <w:szCs w:val="32"/>
        </w:rPr>
        <w:t>。主要原因是疫情影响造成相关接待对应减少。其中：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国内公务接待支出0.66万元，主要用于开展业务活动开支的交通费、住宿费、用餐费等。国内公务接待5批次，49人次（不包括陪同人员），共计支出0.66万元，具体内容包括：</w:t>
      </w:r>
      <w:r>
        <w:rPr>
          <w:rFonts w:hint="eastAsia" w:ascii="仿宋" w:hAnsi="仿宋" w:eastAsia="仿宋"/>
          <w:color w:val="000000"/>
          <w:sz w:val="32"/>
          <w:szCs w:val="32"/>
          <w:lang w:eastAsia="zh-CN"/>
        </w:rPr>
        <w:t>接待上级部门</w:t>
      </w:r>
      <w:r>
        <w:rPr>
          <w:rFonts w:hint="eastAsia" w:ascii="仿宋" w:hAnsi="仿宋" w:eastAsia="仿宋"/>
          <w:color w:val="000000"/>
          <w:sz w:val="32"/>
          <w:szCs w:val="32"/>
          <w:lang w:val="en-US" w:eastAsia="zh-CN"/>
        </w:rPr>
        <w:t>3批次，28人，0.41万元；接待相关业务交流单位2批次，21人，0.25万元</w:t>
      </w:r>
      <w:r>
        <w:rPr>
          <w:rFonts w:hint="eastAsia" w:ascii="仿宋" w:hAnsi="仿宋" w:eastAsia="仿宋"/>
          <w:color w:val="000000"/>
          <w:sz w:val="32"/>
          <w:szCs w:val="32"/>
        </w:rPr>
        <w:t>。</w:t>
      </w:r>
    </w:p>
    <w:p>
      <w:pPr>
        <w:spacing w:line="600" w:lineRule="exact"/>
        <w:ind w:firstLine="640"/>
        <w:rPr>
          <w:rFonts w:ascii="黑体" w:eastAsia="黑体"/>
          <w:color w:val="000000"/>
          <w:sz w:val="32"/>
          <w:szCs w:val="32"/>
        </w:rPr>
      </w:pPr>
      <w:bookmarkStart w:id="65" w:name="_Toc15377218"/>
      <w:bookmarkStart w:id="66" w:name="_Toc15396610"/>
    </w:p>
    <w:p>
      <w:pPr>
        <w:spacing w:line="600" w:lineRule="exact"/>
        <w:ind w:firstLine="640"/>
        <w:outlineLvl w:val="1"/>
        <w:rPr>
          <w:rStyle w:val="17"/>
          <w:rFonts w:ascii="黑体" w:hAnsi="黑体" w:eastAsia="黑体"/>
        </w:rPr>
      </w:pPr>
      <w:bookmarkStart w:id="67" w:name="_Toc15933"/>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65"/>
      <w:bookmarkEnd w:id="66"/>
      <w:bookmarkEnd w:id="67"/>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outlineLvl w:val="9"/>
        <w:rPr>
          <w:rFonts w:ascii="仿宋_GB2312" w:eastAsia="仿宋_GB2312"/>
          <w:color w:val="000000"/>
          <w:sz w:val="32"/>
          <w:szCs w:val="32"/>
        </w:rPr>
      </w:pPr>
      <w:bookmarkStart w:id="116" w:name="_GoBack"/>
      <w:r>
        <w:rPr>
          <w:rFonts w:hint="eastAsia" w:ascii="仿宋" w:hAnsi="仿宋" w:eastAsia="仿宋"/>
          <w:color w:val="000000"/>
          <w:sz w:val="32"/>
          <w:szCs w:val="32"/>
          <w:lang w:val="en-US" w:eastAsia="zh-CN"/>
        </w:rPr>
        <w:t>2020年本单位未在政府性基金预算拨款安排“三公经费”支出。</w:t>
      </w:r>
      <w:bookmarkEnd w:id="116"/>
    </w:p>
    <w:p>
      <w:pPr>
        <w:numPr>
          <w:ilvl w:val="0"/>
          <w:numId w:val="4"/>
        </w:numPr>
        <w:spacing w:line="600" w:lineRule="exact"/>
        <w:ind w:firstLine="640"/>
        <w:outlineLvl w:val="1"/>
        <w:rPr>
          <w:rStyle w:val="17"/>
          <w:rFonts w:ascii="黑体" w:hAnsi="黑体" w:eastAsia="黑体"/>
          <w:b w:val="0"/>
        </w:rPr>
      </w:pPr>
      <w:bookmarkStart w:id="68" w:name="_Toc7309"/>
      <w:bookmarkStart w:id="69" w:name="_Toc15377219"/>
      <w:bookmarkStart w:id="70" w:name="_Toc15396611"/>
      <w:r>
        <w:rPr>
          <w:rStyle w:val="17"/>
          <w:rFonts w:hint="eastAsia" w:ascii="黑体" w:hAnsi="黑体" w:eastAsia="黑体"/>
          <w:b w:val="0"/>
        </w:rPr>
        <w:t>国有资本经营预算支出决算情况说明</w:t>
      </w:r>
      <w:bookmarkEnd w:id="68"/>
      <w:bookmarkEnd w:id="69"/>
      <w:bookmarkEnd w:id="7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无。</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71" w:name="_Toc6567"/>
      <w:bookmarkStart w:id="72" w:name="_Toc15377221"/>
      <w:bookmarkStart w:id="73" w:name="_Toc15396612"/>
      <w:r>
        <w:rPr>
          <w:rFonts w:hint="eastAsia" w:ascii="黑体" w:hAnsi="黑体" w:eastAsia="黑体"/>
          <w:color w:val="000000"/>
          <w:sz w:val="32"/>
          <w:szCs w:val="32"/>
        </w:rPr>
        <w:t>十</w:t>
      </w:r>
      <w:r>
        <w:rPr>
          <w:rStyle w:val="17"/>
          <w:rFonts w:hint="eastAsia" w:ascii="黑体" w:hAnsi="黑体" w:eastAsia="黑体"/>
        </w:rPr>
        <w:t>、</w:t>
      </w:r>
      <w:r>
        <w:rPr>
          <w:rStyle w:val="17"/>
          <w:rFonts w:hint="eastAsia" w:ascii="黑体" w:hAnsi="黑体" w:eastAsia="黑体"/>
          <w:b w:val="0"/>
        </w:rPr>
        <w:t>其他重要事项的情况说明</w:t>
      </w:r>
      <w:bookmarkEnd w:id="71"/>
      <w:bookmarkEnd w:id="72"/>
      <w:bookmarkEnd w:id="73"/>
    </w:p>
    <w:p>
      <w:pPr>
        <w:spacing w:line="600" w:lineRule="exact"/>
        <w:ind w:firstLine="642" w:firstLineChars="200"/>
        <w:outlineLvl w:val="2"/>
        <w:rPr>
          <w:rFonts w:hint="eastAsia" w:ascii="仿宋" w:hAnsi="仿宋" w:eastAsia="仿宋"/>
          <w:b/>
          <w:color w:val="000000"/>
          <w:sz w:val="32"/>
          <w:szCs w:val="32"/>
        </w:rPr>
      </w:pPr>
      <w:bookmarkStart w:id="74" w:name="_Toc15377222"/>
      <w:r>
        <w:rPr>
          <w:rFonts w:hint="eastAsia" w:ascii="仿宋" w:hAnsi="仿宋" w:eastAsia="仿宋"/>
          <w:b/>
          <w:color w:val="000000"/>
          <w:sz w:val="32"/>
          <w:szCs w:val="32"/>
        </w:rPr>
        <w:t>（一）机关运行经费支出情况</w:t>
      </w:r>
      <w:bookmarkEnd w:id="74"/>
    </w:p>
    <w:p>
      <w:pPr>
        <w:spacing w:line="600" w:lineRule="exact"/>
        <w:ind w:firstLine="640" w:firstLineChars="200"/>
        <w:outlineLvl w:val="2"/>
        <w:rPr>
          <w:rFonts w:hint="eastAsia" w:ascii="仿宋" w:hAnsi="仿宋" w:eastAsia="仿宋"/>
          <w:b w:val="0"/>
          <w:bCs/>
          <w:color w:val="000000"/>
          <w:sz w:val="32"/>
          <w:szCs w:val="32"/>
          <w:lang w:val="en-US" w:eastAsia="zh-CN"/>
        </w:rPr>
      </w:pPr>
      <w:r>
        <w:rPr>
          <w:rFonts w:hint="eastAsia" w:ascii="仿宋" w:hAnsi="仿宋" w:eastAsia="仿宋"/>
          <w:b w:val="0"/>
          <w:bCs/>
          <w:color w:val="000000"/>
          <w:sz w:val="32"/>
          <w:szCs w:val="32"/>
          <w:lang w:eastAsia="zh-CN"/>
        </w:rPr>
        <w:t>因千佛崖不属于机关单位，</w:t>
      </w:r>
      <w:r>
        <w:rPr>
          <w:rFonts w:ascii="仿宋" w:hAnsi="仿宋" w:eastAsia="仿宋"/>
          <w:b w:val="0"/>
          <w:bCs/>
          <w:color w:val="000000"/>
          <w:sz w:val="32"/>
          <w:szCs w:val="32"/>
        </w:rPr>
        <w:t>2020</w:t>
      </w:r>
      <w:r>
        <w:rPr>
          <w:rFonts w:hint="eastAsia" w:ascii="仿宋" w:hAnsi="仿宋" w:eastAsia="仿宋"/>
          <w:b w:val="0"/>
          <w:bCs/>
          <w:color w:val="000000"/>
          <w:sz w:val="32"/>
          <w:szCs w:val="32"/>
        </w:rPr>
        <w:t>年，机关运行经费支出</w:t>
      </w:r>
      <w:r>
        <w:rPr>
          <w:rFonts w:hint="eastAsia" w:ascii="仿宋" w:hAnsi="仿宋" w:eastAsia="仿宋"/>
          <w:b w:val="0"/>
          <w:bCs/>
          <w:color w:val="000000"/>
          <w:sz w:val="32"/>
          <w:szCs w:val="32"/>
          <w:lang w:val="en-US" w:eastAsia="zh-CN"/>
        </w:rPr>
        <w:t>0</w:t>
      </w:r>
      <w:r>
        <w:rPr>
          <w:rFonts w:hint="eastAsia" w:ascii="仿宋" w:hAnsi="仿宋" w:eastAsia="仿宋"/>
          <w:b w:val="0"/>
          <w:bCs/>
          <w:color w:val="000000"/>
          <w:sz w:val="32"/>
          <w:szCs w:val="32"/>
        </w:rPr>
        <w:t>万元</w:t>
      </w:r>
      <w:r>
        <w:rPr>
          <w:rFonts w:hint="eastAsia" w:ascii="仿宋" w:hAnsi="仿宋" w:eastAsia="仿宋"/>
          <w:b w:val="0"/>
          <w:bCs/>
          <w:color w:val="000000"/>
          <w:sz w:val="32"/>
          <w:szCs w:val="32"/>
          <w:lang w:val="en-US" w:eastAsia="zh-CN"/>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5" w:name="_Toc15377223"/>
      <w:r>
        <w:rPr>
          <w:rFonts w:hint="eastAsia" w:ascii="仿宋" w:hAnsi="仿宋" w:eastAsia="仿宋"/>
          <w:b/>
          <w:color w:val="000000"/>
          <w:sz w:val="32"/>
          <w:szCs w:val="32"/>
        </w:rPr>
        <w:t>（二）政府采购支出情况</w:t>
      </w:r>
      <w:bookmarkEnd w:id="7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年，广元市政府采购支出总额1225.72万元，其中：政府采购服务支出1225.72万元。主要</w:t>
      </w:r>
      <w:r>
        <w:rPr>
          <w:rFonts w:hint="eastAsia" w:ascii="仿宋" w:hAnsi="仿宋" w:eastAsia="仿宋"/>
          <w:color w:val="000000"/>
          <w:sz w:val="32"/>
          <w:szCs w:val="32"/>
          <w:lang w:eastAsia="zh-CN"/>
        </w:rPr>
        <w:t>于</w:t>
      </w:r>
      <w:r>
        <w:rPr>
          <w:rFonts w:hint="eastAsia" w:ascii="仿宋" w:hAnsi="仿宋" w:eastAsia="仿宋" w:cs="仿宋"/>
          <w:sz w:val="32"/>
          <w:szCs w:val="32"/>
        </w:rPr>
        <w:t>千佛崖摩崖造像病害治理及重点龛窟修复工程413.39万元；千佛崖摩崖造像保护利用设施建设项目4.4万元； 千佛崖莲花洞造像保护修复项目151.45万元；灾后重建还款414万元；千佛崖摩崖造像北区危岩治理项目234.57万元；千佛崖北入口增量工程7.91万元</w:t>
      </w:r>
      <w:r>
        <w:rPr>
          <w:rFonts w:hint="eastAsia" w:ascii="仿宋" w:hAnsi="仿宋" w:eastAsia="仿宋" w:cs="仿宋"/>
          <w:color w:val="000000"/>
          <w:sz w:val="32"/>
          <w:szCs w:val="32"/>
        </w:rPr>
        <w:t>。</w:t>
      </w:r>
      <w:r>
        <w:rPr>
          <w:rFonts w:hint="eastAsia" w:ascii="仿宋" w:hAnsi="仿宋" w:eastAsia="仿宋"/>
          <w:color w:val="000000"/>
          <w:sz w:val="32"/>
          <w:szCs w:val="32"/>
        </w:rPr>
        <w:t>授予中小企业合同金额63.7万元，占政府采购支出总额的5</w:t>
      </w:r>
      <w:r>
        <w:rPr>
          <w:rFonts w:ascii="仿宋" w:hAnsi="仿宋" w:eastAsia="仿宋"/>
          <w:color w:val="000000"/>
          <w:sz w:val="32"/>
          <w:szCs w:val="32"/>
        </w:rPr>
        <w:t>%</w:t>
      </w:r>
      <w:r>
        <w:rPr>
          <w:rFonts w:hint="eastAsia" w:ascii="仿宋" w:hAnsi="仿宋" w:eastAsia="仿宋"/>
          <w:color w:val="000000"/>
          <w:sz w:val="32"/>
          <w:szCs w:val="32"/>
        </w:rPr>
        <w:t>，其中：授予小微企业合同金额63.7万元，占政府采购支出总额的5</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76" w:name="_Toc15377224"/>
      <w:r>
        <w:rPr>
          <w:rFonts w:hint="eastAsia" w:ascii="仿宋" w:hAnsi="仿宋" w:eastAsia="仿宋"/>
          <w:b/>
          <w:color w:val="000000"/>
          <w:sz w:val="32"/>
          <w:szCs w:val="32"/>
        </w:rPr>
        <w:t>（三）国有资产占有使用情况</w:t>
      </w:r>
      <w:bookmarkEnd w:id="7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日，千佛崖石刻艺术博物馆共有车辆1辆，其中：其他用车1辆.其他用车主要是用于单位</w:t>
      </w:r>
      <w:r>
        <w:rPr>
          <w:rFonts w:hint="eastAsia" w:ascii="仿宋" w:hAnsi="仿宋" w:eastAsia="仿宋"/>
          <w:color w:val="000000"/>
          <w:sz w:val="32"/>
          <w:szCs w:val="32"/>
          <w:lang w:eastAsia="zh-CN"/>
        </w:rPr>
        <w:t>公务</w:t>
      </w:r>
      <w:r>
        <w:rPr>
          <w:rFonts w:hint="eastAsia" w:ascii="仿宋" w:hAnsi="仿宋" w:eastAsia="仿宋"/>
          <w:color w:val="000000"/>
          <w:sz w:val="32"/>
          <w:szCs w:val="32"/>
        </w:rPr>
        <w:t>用车。</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根据预算绩效管理要求，本部门（单位）在年初预算编制阶段，组织对安防经费、宣传营销费、绿化养护费、卫生清洁费项目开展了预算事前绩效评估，对4个项目编制了绩效目标，预算执行过程中，选取4个项目开展绩效监控，年终执行完毕后，对4个项目开展了绩效目标完成情况自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年部门整体支出开展绩效自评，从评价情况来看该4个项目均完成相对应的目标。</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项目绩效目标完成情况。</w:t>
      </w:r>
      <w:r>
        <w:rPr>
          <w:rFonts w:ascii="仿宋" w:hAnsi="仿宋" w:eastAsia="仿宋"/>
          <w:color w:val="000000"/>
          <w:sz w:val="32"/>
          <w:szCs w:val="32"/>
        </w:rPr>
        <w:br w:type="textWrapping"/>
      </w:r>
      <w:r>
        <w:rPr>
          <w:rFonts w:ascii="仿宋" w:hAnsi="仿宋" w:eastAsia="仿宋"/>
          <w:color w:val="000000"/>
          <w:sz w:val="32"/>
          <w:szCs w:val="32"/>
        </w:rPr>
        <w:t xml:space="preserve">    </w:t>
      </w:r>
      <w:r>
        <w:rPr>
          <w:rFonts w:hint="eastAsia" w:ascii="仿宋" w:hAnsi="仿宋" w:eastAsia="仿宋"/>
          <w:color w:val="000000"/>
          <w:sz w:val="32"/>
          <w:szCs w:val="32"/>
        </w:rPr>
        <w:t>本部门在</w:t>
      </w:r>
      <w:r>
        <w:rPr>
          <w:rFonts w:ascii="仿宋" w:hAnsi="仿宋" w:eastAsia="仿宋"/>
          <w:color w:val="000000"/>
          <w:sz w:val="32"/>
          <w:szCs w:val="32"/>
        </w:rPr>
        <w:t>2020</w:t>
      </w:r>
      <w:r>
        <w:rPr>
          <w:rFonts w:hint="eastAsia" w:ascii="仿宋" w:hAnsi="仿宋" w:eastAsia="仿宋"/>
          <w:color w:val="000000"/>
          <w:sz w:val="32"/>
          <w:szCs w:val="32"/>
        </w:rPr>
        <w:t>年度部门决算中反映“安防经费</w:t>
      </w:r>
      <w:r>
        <w:rPr>
          <w:rFonts w:ascii="仿宋" w:hAnsi="仿宋" w:eastAsia="仿宋"/>
          <w:color w:val="000000"/>
          <w:sz w:val="32"/>
          <w:szCs w:val="32"/>
        </w:rPr>
        <w:t>””</w:t>
      </w:r>
      <w:r>
        <w:rPr>
          <w:rFonts w:hint="eastAsia" w:ascii="仿宋" w:hAnsi="仿宋" w:eastAsia="仿宋"/>
          <w:color w:val="000000"/>
          <w:sz w:val="32"/>
          <w:szCs w:val="32"/>
        </w:rPr>
        <w:t>宣传营销费</w:t>
      </w:r>
      <w:r>
        <w:rPr>
          <w:rFonts w:ascii="仿宋" w:hAnsi="仿宋" w:eastAsia="仿宋"/>
          <w:color w:val="000000"/>
          <w:sz w:val="32"/>
          <w:szCs w:val="32"/>
        </w:rPr>
        <w:t>”</w:t>
      </w:r>
      <w:r>
        <w:rPr>
          <w:rFonts w:hint="eastAsia" w:ascii="仿宋" w:hAnsi="仿宋" w:eastAsia="仿宋"/>
          <w:color w:val="000000"/>
          <w:sz w:val="32"/>
          <w:szCs w:val="32"/>
        </w:rPr>
        <w:t>“绿化养护费”“卫生清洁费”等4个项目绩效目标实际完成情况。</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）安防项目绩效目标完成情况综述。项目全年预算数85万元，执行数为85万元，完成预算的100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。通过项目实施，加强安防系统、监控的布控，保证景区的安全。</w:t>
      </w: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tbl>
      <w:tblPr>
        <w:tblStyle w:val="12"/>
        <w:tblpPr w:leftFromText="180" w:rightFromText="180" w:vertAnchor="text" w:horzAnchor="page" w:tblpX="1144" w:tblpY="66"/>
        <w:tblOverlap w:val="never"/>
        <w:tblW w:w="9988" w:type="dxa"/>
        <w:jc w:val="center"/>
        <w:tblLayout w:type="fixed"/>
        <w:tblCellMar>
          <w:top w:w="0" w:type="dxa"/>
          <w:left w:w="0" w:type="dxa"/>
          <w:bottom w:w="0" w:type="dxa"/>
          <w:right w:w="0" w:type="dxa"/>
        </w:tblCellMar>
      </w:tblPr>
      <w:tblGrid>
        <w:gridCol w:w="934"/>
        <w:gridCol w:w="1636"/>
        <w:gridCol w:w="212"/>
        <w:gridCol w:w="982"/>
        <w:gridCol w:w="1410"/>
        <w:gridCol w:w="28"/>
        <w:gridCol w:w="2366"/>
        <w:gridCol w:w="28"/>
        <w:gridCol w:w="2364"/>
        <w:gridCol w:w="28"/>
      </w:tblGrid>
      <w:tr>
        <w:tblPrEx>
          <w:tblCellMar>
            <w:top w:w="0" w:type="dxa"/>
            <w:left w:w="0" w:type="dxa"/>
            <w:bottom w:w="0" w:type="dxa"/>
            <w:right w:w="0" w:type="dxa"/>
          </w:tblCellMar>
        </w:tblPrEx>
        <w:trPr>
          <w:gridAfter w:val="1"/>
          <w:wAfter w:w="28" w:type="dxa"/>
          <w:trHeight w:val="1034" w:hRule="atLeast"/>
          <w:jc w:val="center"/>
        </w:trPr>
        <w:tc>
          <w:tcPr>
            <w:tcW w:w="996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gridAfter w:val="1"/>
          <w:wAfter w:w="28"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安防经费</w:t>
            </w:r>
          </w:p>
        </w:tc>
      </w:tr>
      <w:tr>
        <w:tblPrEx>
          <w:tblCellMar>
            <w:top w:w="0" w:type="dxa"/>
            <w:left w:w="0" w:type="dxa"/>
            <w:bottom w:w="0" w:type="dxa"/>
            <w:right w:w="0" w:type="dxa"/>
          </w:tblCellMar>
        </w:tblPrEx>
        <w:trPr>
          <w:gridAfter w:val="1"/>
          <w:wAfter w:w="28" w:type="dxa"/>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广元市千佛崖石刻艺术博物馆</w:t>
            </w:r>
          </w:p>
        </w:tc>
      </w:tr>
      <w:tr>
        <w:tblPrEx>
          <w:tblCellMar>
            <w:top w:w="0" w:type="dxa"/>
            <w:left w:w="0" w:type="dxa"/>
            <w:bottom w:w="0" w:type="dxa"/>
            <w:right w:w="0" w:type="dxa"/>
          </w:tblCellMar>
        </w:tblPrEx>
        <w:trPr>
          <w:gridAfter w:val="1"/>
          <w:wAfter w:w="28" w:type="dxa"/>
          <w:trHeight w:val="276"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1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gridAfter w:val="1"/>
          <w:wAfter w:w="28" w:type="dxa"/>
          <w:trHeight w:val="276"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r>
        <w:tblPrEx>
          <w:tblCellMar>
            <w:top w:w="0" w:type="dxa"/>
            <w:left w:w="0" w:type="dxa"/>
            <w:bottom w:w="0" w:type="dxa"/>
            <w:right w:w="0" w:type="dxa"/>
          </w:tblCellMar>
        </w:tblPrEx>
        <w:trPr>
          <w:gridAfter w:val="1"/>
          <w:wAfter w:w="28" w:type="dxa"/>
          <w:trHeight w:val="1511"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1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gridAfter w:val="1"/>
          <w:wAfter w:w="28" w:type="dxa"/>
          <w:trHeight w:val="276" w:hRule="atLeast"/>
          <w:jc w:val="center"/>
        </w:trPr>
        <w:tc>
          <w:tcPr>
            <w:tcW w:w="9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2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gridAfter w:val="1"/>
          <w:wAfter w:w="28" w:type="dxa"/>
          <w:trHeight w:val="1159" w:hRule="atLeast"/>
          <w:jc w:val="center"/>
        </w:trPr>
        <w:tc>
          <w:tcPr>
            <w:tcW w:w="9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24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1、节约开支，聘用保安人员全年工资保险控制在78万元以内；2加强安防系统、监控、消防等，保证景区的安全</w:t>
            </w:r>
          </w:p>
        </w:tc>
        <w:tc>
          <w:tcPr>
            <w:tcW w:w="478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1、节约开支；2加强安防系统、监控、消防等，保证景区的安全</w:t>
            </w:r>
          </w:p>
        </w:tc>
      </w:tr>
      <w:tr>
        <w:tblPrEx>
          <w:tblCellMar>
            <w:top w:w="0" w:type="dxa"/>
            <w:left w:w="0" w:type="dxa"/>
            <w:bottom w:w="0" w:type="dxa"/>
            <w:right w:w="0" w:type="dxa"/>
          </w:tblCellMar>
        </w:tblPrEx>
        <w:trPr>
          <w:trHeight w:val="1042" w:hRule="atLeast"/>
          <w:jc w:val="center"/>
        </w:trPr>
        <w:tc>
          <w:tcPr>
            <w:tcW w:w="9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93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增加安全防范监控系统1个监控点</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1个监控点</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1个监控点</w:t>
            </w:r>
          </w:p>
        </w:tc>
      </w:tr>
      <w:tr>
        <w:tblPrEx>
          <w:tblCellMar>
            <w:top w:w="0" w:type="dxa"/>
            <w:left w:w="0" w:type="dxa"/>
            <w:bottom w:w="0" w:type="dxa"/>
            <w:right w:w="0" w:type="dxa"/>
          </w:tblCellMar>
        </w:tblPrEx>
        <w:trPr>
          <w:trHeight w:val="1297" w:hRule="atLeast"/>
          <w:jc w:val="center"/>
        </w:trPr>
        <w:tc>
          <w:tcPr>
            <w:tcW w:w="93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时效指标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完成各项指标截止日期为2020年12月31日</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r>
      <w:tr>
        <w:tblPrEx>
          <w:tblCellMar>
            <w:top w:w="0" w:type="dxa"/>
            <w:left w:w="0" w:type="dxa"/>
            <w:bottom w:w="0" w:type="dxa"/>
            <w:right w:w="0" w:type="dxa"/>
          </w:tblCellMar>
        </w:tblPrEx>
        <w:trPr>
          <w:trHeight w:val="1042" w:hRule="atLeast"/>
          <w:jc w:val="center"/>
        </w:trPr>
        <w:tc>
          <w:tcPr>
            <w:tcW w:w="93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成本指标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压缩聘用保安人员成本</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78万</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90.2万</w:t>
            </w:r>
          </w:p>
        </w:tc>
      </w:tr>
      <w:tr>
        <w:tblPrEx>
          <w:tblCellMar>
            <w:top w:w="0" w:type="dxa"/>
            <w:left w:w="0" w:type="dxa"/>
            <w:bottom w:w="0" w:type="dxa"/>
            <w:right w:w="0" w:type="dxa"/>
          </w:tblCellMar>
        </w:tblPrEx>
        <w:trPr>
          <w:trHeight w:val="1050" w:hRule="atLeast"/>
          <w:jc w:val="center"/>
        </w:trPr>
        <w:tc>
          <w:tcPr>
            <w:tcW w:w="9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生态效益</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增加安全防火监控，保护环境，保护慰问</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防火安全</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防火安全</w:t>
            </w:r>
          </w:p>
        </w:tc>
      </w:tr>
      <w:tr>
        <w:tblPrEx>
          <w:tblCellMar>
            <w:top w:w="0" w:type="dxa"/>
            <w:left w:w="0" w:type="dxa"/>
            <w:bottom w:w="0" w:type="dxa"/>
            <w:right w:w="0" w:type="dxa"/>
          </w:tblCellMar>
        </w:tblPrEx>
        <w:trPr>
          <w:trHeight w:val="1050" w:hRule="atLeast"/>
          <w:jc w:val="center"/>
        </w:trPr>
        <w:tc>
          <w:tcPr>
            <w:tcW w:w="9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6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1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4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游客满意度达9</w:t>
            </w:r>
            <w:r>
              <w:rPr>
                <w:rStyle w:val="30"/>
                <w:rFonts w:hint="default"/>
                <w:lang w:bidi="ar"/>
              </w:rPr>
              <w:t>5%</w:t>
            </w:r>
          </w:p>
        </w:tc>
        <w:tc>
          <w:tcPr>
            <w:tcW w:w="239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bl>
    <w:p>
      <w:pPr>
        <w:spacing w:line="580" w:lineRule="exact"/>
        <w:ind w:firstLine="640" w:firstLineChars="200"/>
        <w:rPr>
          <w:rFonts w:hint="eastAsia" w:ascii="仿宋" w:hAnsi="仿宋" w:eastAsia="仿宋"/>
          <w:color w:val="000000"/>
          <w:sz w:val="32"/>
          <w:szCs w:val="32"/>
        </w:rPr>
      </w:pPr>
    </w:p>
    <w:p>
      <w:pPr>
        <w:spacing w:line="580" w:lineRule="exact"/>
        <w:ind w:firstLine="640" w:firstLineChars="200"/>
        <w:rPr>
          <w:rFonts w:hint="eastAsia" w:ascii="仿宋" w:hAnsi="仿宋" w:eastAsia="仿宋"/>
          <w:color w:val="000000"/>
          <w:sz w:val="32"/>
          <w:szCs w:val="32"/>
        </w:rPr>
      </w:pPr>
    </w:p>
    <w:p>
      <w:pPr>
        <w:numPr>
          <w:ilvl w:val="0"/>
          <w:numId w:val="5"/>
        </w:num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宣传营销项目绩效目标完成情况综述。项目全年预算数19.35万元，执行数为19.35万元，完成预算的100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。通过项目实施，加大景区宣传力度，提高门票收入。</w:t>
      </w:r>
    </w:p>
    <w:tbl>
      <w:tblPr>
        <w:tblStyle w:val="12"/>
        <w:tblpPr w:leftFromText="180" w:rightFromText="180" w:vertAnchor="text" w:horzAnchor="page" w:tblpX="1161" w:tblpY="159"/>
        <w:tblOverlap w:val="never"/>
        <w:tblW w:w="9960" w:type="dxa"/>
        <w:jc w:val="center"/>
        <w:tblLayout w:type="fixed"/>
        <w:tblCellMar>
          <w:top w:w="0" w:type="dxa"/>
          <w:left w:w="0" w:type="dxa"/>
          <w:bottom w:w="0" w:type="dxa"/>
          <w:right w:w="0" w:type="dxa"/>
        </w:tblCellMar>
      </w:tblPr>
      <w:tblGrid>
        <w:gridCol w:w="1110"/>
        <w:gridCol w:w="1020"/>
        <w:gridCol w:w="1470"/>
        <w:gridCol w:w="1965"/>
        <w:gridCol w:w="2003"/>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宣传营销费</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广元市千佛崖石刻艺术博物馆</w:t>
            </w: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19.35</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19.35</w:t>
            </w:r>
          </w:p>
        </w:tc>
      </w:tr>
      <w:tr>
        <w:tblPrEx>
          <w:tblCellMar>
            <w:top w:w="0" w:type="dxa"/>
            <w:left w:w="0" w:type="dxa"/>
            <w:bottom w:w="0" w:type="dxa"/>
            <w:right w:w="0" w:type="dxa"/>
          </w:tblCellMar>
        </w:tblPrEx>
        <w:trPr>
          <w:trHeight w:val="276"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19.35</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19.35</w:t>
            </w:r>
          </w:p>
        </w:tc>
      </w:tr>
      <w:tr>
        <w:tblPrEx>
          <w:tblCellMar>
            <w:top w:w="0" w:type="dxa"/>
            <w:left w:w="0" w:type="dxa"/>
            <w:bottom w:w="0" w:type="dxa"/>
            <w:right w:w="0" w:type="dxa"/>
          </w:tblCellMar>
        </w:tblPrEx>
        <w:trPr>
          <w:trHeight w:val="762"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204"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1、节约开支，聘用讲解员全年工资维持在12万左右；2、加大景区宣传力度；3、完成讲解收入8万元。</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1、节约开支；2、加大景区宣传力度；3、完成讲解收入7万元。</w:t>
            </w:r>
          </w:p>
        </w:tc>
      </w:tr>
      <w:tr>
        <w:tblPrEx>
          <w:tblCellMar>
            <w:top w:w="0" w:type="dxa"/>
            <w:left w:w="0" w:type="dxa"/>
            <w:bottom w:w="0" w:type="dxa"/>
            <w:right w:w="0" w:type="dxa"/>
          </w:tblCellMar>
        </w:tblPrEx>
        <w:trPr>
          <w:trHeight w:val="1042" w:hRule="atLeast"/>
          <w:jc w:val="center"/>
        </w:trPr>
        <w:tc>
          <w:tcPr>
            <w:tcW w:w="11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完成讲解收入达到8万元</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7万</w:t>
            </w:r>
          </w:p>
        </w:tc>
      </w:tr>
      <w:tr>
        <w:tblPrEx>
          <w:tblCellMar>
            <w:top w:w="0" w:type="dxa"/>
            <w:left w:w="0" w:type="dxa"/>
            <w:bottom w:w="0" w:type="dxa"/>
            <w:right w:w="0" w:type="dxa"/>
          </w:tblCellMar>
        </w:tblPrEx>
        <w:trPr>
          <w:trHeight w:val="1297"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时效指标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完成各项指标截止日期为2020年12月31日</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r>
      <w:tr>
        <w:tblPrEx>
          <w:tblCellMar>
            <w:top w:w="0" w:type="dxa"/>
            <w:left w:w="0" w:type="dxa"/>
            <w:bottom w:w="0" w:type="dxa"/>
            <w:right w:w="0" w:type="dxa"/>
          </w:tblCellMar>
        </w:tblPrEx>
        <w:trPr>
          <w:trHeight w:val="1042"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成本指标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压缩聘用讲解员成本</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18万</w:t>
            </w:r>
          </w:p>
        </w:tc>
      </w:tr>
      <w:tr>
        <w:tblPrEx>
          <w:tblCellMar>
            <w:top w:w="0" w:type="dxa"/>
            <w:left w:w="0" w:type="dxa"/>
            <w:bottom w:w="0" w:type="dxa"/>
            <w:right w:w="0" w:type="dxa"/>
          </w:tblCellMar>
        </w:tblPrEx>
        <w:trPr>
          <w:trHeight w:val="1050" w:hRule="atLeast"/>
          <w:jc w:val="center"/>
        </w:trPr>
        <w:tc>
          <w:tcPr>
            <w:tcW w:w="111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游客对讲解员满意度达90%</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numPr>
                <w:ilvl w:val="0"/>
                <w:numId w:val="0"/>
              </w:num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绿化养护项目绩效目标完成情况综述。项目全年预算数46.17万元，执行数为46.17万元，完成预算的100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。通过项目实施，完成景区全年绿化养护、保证景区达到国家绿色景区要求。</w:t>
            </w: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绿化养护费</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广元市千佛崖石刻艺术博物馆</w:t>
            </w: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46.17</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46.17</w:t>
            </w:r>
          </w:p>
        </w:tc>
      </w:tr>
      <w:tr>
        <w:tblPrEx>
          <w:tblCellMar>
            <w:top w:w="0" w:type="dxa"/>
            <w:left w:w="0" w:type="dxa"/>
            <w:bottom w:w="0" w:type="dxa"/>
            <w:right w:w="0" w:type="dxa"/>
          </w:tblCellMar>
        </w:tblPrEx>
        <w:trPr>
          <w:trHeight w:val="276"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46.17</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46.17</w:t>
            </w:r>
          </w:p>
        </w:tc>
      </w:tr>
      <w:tr>
        <w:tblPrEx>
          <w:tblCellMar>
            <w:top w:w="0" w:type="dxa"/>
            <w:left w:w="0" w:type="dxa"/>
            <w:bottom w:w="0" w:type="dxa"/>
            <w:right w:w="0" w:type="dxa"/>
          </w:tblCellMar>
        </w:tblPrEx>
        <w:trPr>
          <w:trHeight w:val="1511"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完成景区全年绿化养护、保证景区达到国家绿色景区要求</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完成景区全年绿化养护、景区达到国家绿色景区要求</w:t>
            </w:r>
          </w:p>
        </w:tc>
      </w:tr>
      <w:tr>
        <w:tblPrEx>
          <w:tblCellMar>
            <w:top w:w="0" w:type="dxa"/>
            <w:left w:w="0" w:type="dxa"/>
            <w:bottom w:w="0" w:type="dxa"/>
            <w:right w:w="0" w:type="dxa"/>
          </w:tblCellMar>
        </w:tblPrEx>
        <w:trPr>
          <w:trHeight w:val="1042" w:hRule="atLeast"/>
          <w:jc w:val="center"/>
        </w:trPr>
        <w:tc>
          <w:tcPr>
            <w:tcW w:w="11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完成全年 绿化养护</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绿化养护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绿化养护</w:t>
            </w:r>
          </w:p>
        </w:tc>
      </w:tr>
      <w:tr>
        <w:tblPrEx>
          <w:tblCellMar>
            <w:top w:w="0" w:type="dxa"/>
            <w:left w:w="0" w:type="dxa"/>
            <w:bottom w:w="0" w:type="dxa"/>
            <w:right w:w="0" w:type="dxa"/>
          </w:tblCellMar>
        </w:tblPrEx>
        <w:trPr>
          <w:trHeight w:val="1297"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时效指标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完成各项指标截止日期为2020年12月31日</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r>
      <w:tr>
        <w:tblPrEx>
          <w:tblCellMar>
            <w:top w:w="0" w:type="dxa"/>
            <w:left w:w="0" w:type="dxa"/>
            <w:bottom w:w="0" w:type="dxa"/>
            <w:right w:w="0" w:type="dxa"/>
          </w:tblCellMar>
        </w:tblPrEx>
        <w:trPr>
          <w:trHeight w:val="1050" w:hRule="atLeast"/>
          <w:jc w:val="center"/>
        </w:trPr>
        <w:tc>
          <w:tcPr>
            <w:tcW w:w="111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游客针对绿化满意度达到95%</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lang w:bidi="ar"/>
              </w:rPr>
            </w:pPr>
          </w:p>
          <w:p>
            <w:pPr>
              <w:widowControl/>
              <w:jc w:val="both"/>
              <w:textAlignment w:val="center"/>
              <w:rPr>
                <w:rFonts w:ascii="宋体" w:hAnsi="宋体" w:cs="宋体"/>
                <w:b/>
                <w:bCs/>
                <w:color w:val="000000"/>
                <w:kern w:val="0"/>
                <w:sz w:val="36"/>
                <w:szCs w:val="36"/>
                <w:lang w:bidi="ar"/>
              </w:rPr>
            </w:pPr>
          </w:p>
          <w:p>
            <w:pPr>
              <w:widowControl/>
              <w:jc w:val="both"/>
              <w:textAlignment w:val="center"/>
              <w:rPr>
                <w:rFonts w:ascii="宋体" w:hAnsi="宋体" w:cs="宋体"/>
                <w:b/>
                <w:bCs/>
                <w:color w:val="000000"/>
                <w:kern w:val="0"/>
                <w:sz w:val="36"/>
                <w:szCs w:val="36"/>
                <w:lang w:bidi="ar"/>
              </w:rPr>
            </w:pPr>
          </w:p>
          <w:p>
            <w:pPr>
              <w:spacing w:line="580" w:lineRule="exact"/>
              <w:ind w:firstLine="640" w:firstLineChars="200"/>
              <w:rPr>
                <w:rFonts w:ascii="宋体" w:hAnsi="宋体" w:cs="宋体"/>
                <w:b/>
                <w:bCs/>
                <w:color w:val="000000"/>
                <w:kern w:val="0"/>
                <w:sz w:val="36"/>
                <w:szCs w:val="36"/>
                <w:lang w:bidi="ar"/>
              </w:rPr>
            </w:pPr>
            <w:r>
              <w:rPr>
                <w:rFonts w:hint="eastAsia" w:ascii="仿宋" w:hAnsi="仿宋" w:eastAsia="仿宋"/>
                <w:color w:val="000000"/>
                <w:sz w:val="32"/>
                <w:szCs w:val="32"/>
              </w:rPr>
              <w:t>（4）清洁卫生项目绩效目标完成情况综述。项目全年预算数54万元，执行数为54万元，完成预算的100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。通过项目实施，保证景区达到国家卫生城市的基本要求。</w:t>
            </w: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清洁卫生费</w:t>
            </w:r>
          </w:p>
        </w:tc>
      </w:tr>
      <w:tr>
        <w:tblPrEx>
          <w:tblCellMar>
            <w:top w:w="0" w:type="dxa"/>
            <w:left w:w="0" w:type="dxa"/>
            <w:bottom w:w="0" w:type="dxa"/>
            <w:right w:w="0" w:type="dxa"/>
          </w:tblCellMar>
        </w:tblPrEx>
        <w:trPr>
          <w:trHeight w:val="276" w:hRule="atLeast"/>
          <w:jc w:val="center"/>
        </w:trPr>
        <w:tc>
          <w:tcPr>
            <w:tcW w:w="36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63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广元市千佛崖石刻艺术博物馆</w:t>
            </w: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54</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54</w:t>
            </w:r>
          </w:p>
        </w:tc>
      </w:tr>
      <w:tr>
        <w:tblPrEx>
          <w:tblCellMar>
            <w:top w:w="0" w:type="dxa"/>
            <w:left w:w="0" w:type="dxa"/>
            <w:bottom w:w="0" w:type="dxa"/>
            <w:right w:w="0" w:type="dxa"/>
          </w:tblCellMar>
        </w:tblPrEx>
        <w:trPr>
          <w:trHeight w:val="276"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54</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54</w:t>
            </w:r>
          </w:p>
        </w:tc>
      </w:tr>
      <w:tr>
        <w:tblPrEx>
          <w:tblCellMar>
            <w:top w:w="0" w:type="dxa"/>
            <w:left w:w="0" w:type="dxa"/>
            <w:bottom w:w="0" w:type="dxa"/>
            <w:right w:w="0" w:type="dxa"/>
          </w:tblCellMar>
        </w:tblPrEx>
        <w:trPr>
          <w:trHeight w:val="1511"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11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11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完成景区全年清洁卫生费、支付部分污水泵处理费用；保证景区达到国家卫生城市的基本要求。</w:t>
            </w:r>
          </w:p>
        </w:tc>
        <w:tc>
          <w:tcPr>
            <w:tcW w:w="43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完成景区全年清洁卫生费、支付部分污水泵处理费用；保证景区达到国家卫生城市的基本要求。</w:t>
            </w:r>
          </w:p>
        </w:tc>
      </w:tr>
      <w:tr>
        <w:tblPrEx>
          <w:tblCellMar>
            <w:top w:w="0" w:type="dxa"/>
            <w:left w:w="0" w:type="dxa"/>
            <w:bottom w:w="0" w:type="dxa"/>
            <w:right w:w="0" w:type="dxa"/>
          </w:tblCellMar>
        </w:tblPrEx>
        <w:trPr>
          <w:trHeight w:val="1042" w:hRule="atLeast"/>
          <w:jc w:val="center"/>
        </w:trPr>
        <w:tc>
          <w:tcPr>
            <w:tcW w:w="111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完成全年清洁卫生</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清洁卫生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清洁卫生</w:t>
            </w:r>
          </w:p>
        </w:tc>
      </w:tr>
      <w:tr>
        <w:tblPrEx>
          <w:tblCellMar>
            <w:top w:w="0" w:type="dxa"/>
            <w:left w:w="0" w:type="dxa"/>
            <w:bottom w:w="0" w:type="dxa"/>
            <w:right w:w="0" w:type="dxa"/>
          </w:tblCellMar>
        </w:tblPrEx>
        <w:trPr>
          <w:trHeight w:val="1297"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景区整体卫生达到国家要求</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卫生城市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卫生城市</w:t>
            </w:r>
          </w:p>
        </w:tc>
      </w:tr>
      <w:tr>
        <w:tblPrEx>
          <w:tblCellMar>
            <w:top w:w="0" w:type="dxa"/>
            <w:left w:w="0" w:type="dxa"/>
            <w:bottom w:w="0" w:type="dxa"/>
            <w:right w:w="0" w:type="dxa"/>
          </w:tblCellMar>
        </w:tblPrEx>
        <w:trPr>
          <w:trHeight w:val="1042" w:hRule="atLeast"/>
          <w:jc w:val="center"/>
        </w:trPr>
        <w:tc>
          <w:tcPr>
            <w:tcW w:w="111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时效指标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完成各项指标截止日期为2020年12月31日</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2020-12-31</w:t>
            </w:r>
          </w:p>
        </w:tc>
      </w:tr>
      <w:tr>
        <w:tblPrEx>
          <w:tblCellMar>
            <w:top w:w="0" w:type="dxa"/>
            <w:left w:w="0" w:type="dxa"/>
            <w:bottom w:w="0" w:type="dxa"/>
            <w:right w:w="0" w:type="dxa"/>
          </w:tblCellMar>
        </w:tblPrEx>
        <w:trPr>
          <w:trHeight w:val="1050" w:hRule="atLeast"/>
          <w:jc w:val="center"/>
        </w:trPr>
        <w:tc>
          <w:tcPr>
            <w:tcW w:w="111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9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游客对清洁卫生满意度达95%</w:t>
            </w:r>
          </w:p>
        </w:tc>
        <w:tc>
          <w:tcPr>
            <w:tcW w:w="20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本部门按要求对</w:t>
      </w:r>
      <w:r>
        <w:rPr>
          <w:rFonts w:ascii="仿宋" w:hAnsi="仿宋" w:eastAsia="仿宋"/>
          <w:color w:val="000000"/>
          <w:sz w:val="32"/>
          <w:szCs w:val="32"/>
        </w:rPr>
        <w:t>2020</w:t>
      </w:r>
      <w:r>
        <w:rPr>
          <w:rFonts w:hint="eastAsia" w:ascii="仿宋" w:hAnsi="仿宋" w:eastAsia="仿宋"/>
          <w:color w:val="000000"/>
          <w:sz w:val="32"/>
          <w:szCs w:val="32"/>
        </w:rPr>
        <w:t>年部门整体支出绩效评价情况开展自评，《千佛崖部门</w:t>
      </w:r>
      <w:r>
        <w:rPr>
          <w:rFonts w:ascii="仿宋" w:hAnsi="仿宋" w:eastAsia="仿宋"/>
          <w:color w:val="000000"/>
          <w:sz w:val="32"/>
          <w:szCs w:val="32"/>
        </w:rPr>
        <w:t>2020</w:t>
      </w:r>
      <w:r>
        <w:rPr>
          <w:rFonts w:hint="eastAsia" w:ascii="仿宋" w:hAnsi="仿宋" w:eastAsia="仿宋"/>
          <w:color w:val="000000"/>
          <w:sz w:val="32"/>
          <w:szCs w:val="32"/>
        </w:rPr>
        <w:t>年部门整体支出绩效评价报告》见附件（附件</w:t>
      </w:r>
      <w:r>
        <w:rPr>
          <w:rFonts w:ascii="仿宋" w:hAnsi="仿宋" w:eastAsia="仿宋"/>
          <w:color w:val="000000"/>
          <w:sz w:val="32"/>
          <w:szCs w:val="32"/>
        </w:rPr>
        <w:t>1</w:t>
      </w:r>
      <w:r>
        <w:rPr>
          <w:rFonts w:hint="eastAsia" w:ascii="仿宋" w:hAnsi="仿宋" w:eastAsia="仿宋"/>
          <w:color w:val="000000"/>
          <w:sz w:val="32"/>
          <w:szCs w:val="32"/>
        </w:rPr>
        <w:t>）。</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本部门自行组织对安防项目、宣传项目、绿化养护项目和卫生清洁项目开展了绩效评价见附件（附件</w:t>
      </w:r>
      <w:r>
        <w:rPr>
          <w:rFonts w:ascii="仿宋" w:hAnsi="仿宋" w:eastAsia="仿宋"/>
          <w:color w:val="000000"/>
          <w:sz w:val="32"/>
          <w:szCs w:val="32"/>
        </w:rPr>
        <w:t>2</w:t>
      </w:r>
      <w:r>
        <w:rPr>
          <w:rFonts w:hint="eastAsia" w:ascii="仿宋" w:hAnsi="仿宋" w:eastAsia="仿宋"/>
          <w:color w:val="000000"/>
          <w:sz w:val="32"/>
          <w:szCs w:val="32"/>
          <w:lang w:eastAsia="zh-CN"/>
        </w:rPr>
        <w:t>、附件</w:t>
      </w:r>
      <w:r>
        <w:rPr>
          <w:rFonts w:hint="eastAsia" w:ascii="仿宋" w:hAnsi="仿宋" w:eastAsia="仿宋"/>
          <w:color w:val="000000"/>
          <w:sz w:val="32"/>
          <w:szCs w:val="32"/>
          <w:lang w:val="en-US" w:eastAsia="zh-CN"/>
        </w:rPr>
        <w:t>3、附件4、附件5</w:t>
      </w:r>
      <w:r>
        <w:rPr>
          <w:rFonts w:hint="eastAsia" w:ascii="仿宋" w:hAnsi="仿宋" w:eastAsia="仿宋"/>
          <w:color w:val="000000"/>
          <w:sz w:val="32"/>
          <w:szCs w:val="32"/>
        </w:rPr>
        <w:t>）。</w:t>
      </w:r>
      <w:r>
        <w:rPr>
          <w:rFonts w:ascii="仿宋" w:hAnsi="仿宋" w:eastAsia="仿宋"/>
          <w:color w:val="000000"/>
          <w:sz w:val="32"/>
          <w:szCs w:val="32"/>
        </w:rPr>
        <w:br w:type="page"/>
      </w:r>
    </w:p>
    <w:p>
      <w:pPr>
        <w:numPr>
          <w:ilvl w:val="0"/>
          <w:numId w:val="6"/>
        </w:numPr>
        <w:spacing w:line="600" w:lineRule="exact"/>
        <w:ind w:firstLine="660" w:firstLineChars="150"/>
        <w:jc w:val="center"/>
        <w:outlineLvl w:val="0"/>
        <w:rPr>
          <w:rStyle w:val="16"/>
          <w:rFonts w:ascii="黑体" w:hAnsi="黑体" w:eastAsia="黑体"/>
          <w:b w:val="0"/>
        </w:rPr>
      </w:pPr>
      <w:bookmarkStart w:id="77" w:name="_Toc15377225"/>
      <w:bookmarkStart w:id="78" w:name="_Toc15396613"/>
      <w:bookmarkStart w:id="79" w:name="_Toc11303"/>
      <w:r>
        <w:rPr>
          <w:rFonts w:hint="eastAsia" w:ascii="黑体" w:hAnsi="黑体" w:eastAsia="黑体"/>
          <w:color w:val="000000"/>
          <w:sz w:val="44"/>
          <w:szCs w:val="44"/>
        </w:rPr>
        <w:t>名</w:t>
      </w:r>
      <w:r>
        <w:rPr>
          <w:rStyle w:val="16"/>
          <w:rFonts w:hint="eastAsia" w:ascii="黑体" w:hAnsi="黑体" w:eastAsia="黑体"/>
          <w:b w:val="0"/>
        </w:rPr>
        <w:t>词解释</w:t>
      </w:r>
      <w:bookmarkEnd w:id="77"/>
      <w:bookmarkEnd w:id="78"/>
      <w:bookmarkEnd w:id="79"/>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文化旅游体育与传媒（类）文物（款）</w:t>
      </w:r>
      <w:r>
        <w:rPr>
          <w:rFonts w:hint="eastAsia" w:ascii="仿宋_GB2312" w:eastAsia="仿宋_GB2312"/>
          <w:color w:val="000000"/>
          <w:sz w:val="32"/>
          <w:szCs w:val="32"/>
          <w:lang w:eastAsia="zh-CN"/>
        </w:rPr>
        <w:t>文物保护</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景区文物保护项目工程支出</w:t>
      </w:r>
      <w:r>
        <w:rPr>
          <w:rFonts w:hint="eastAsia" w:ascii="仿宋_GB2312" w:eastAsia="仿宋_GB2312"/>
          <w:bCs/>
          <w:color w:val="000000"/>
          <w:sz w:val="32"/>
          <w:szCs w:val="32"/>
        </w:rPr>
        <w:t>。</w:t>
      </w:r>
    </w:p>
    <w:p>
      <w:pPr>
        <w:ind w:firstLine="640" w:firstLineChars="200"/>
        <w:rPr>
          <w:rFonts w:ascii="仿宋" w:hAnsi="仿宋" w:eastAsia="仿宋"/>
          <w:color w:val="000000"/>
          <w:sz w:val="30"/>
          <w:szCs w:val="30"/>
        </w:rPr>
      </w:pPr>
      <w:r>
        <w:rPr>
          <w:rFonts w:ascii="仿宋_GB2312" w:eastAsia="仿宋_GB2312"/>
          <w:color w:val="000000"/>
          <w:sz w:val="32"/>
          <w:szCs w:val="32"/>
        </w:rPr>
        <w:t>6.</w:t>
      </w:r>
      <w:r>
        <w:rPr>
          <w:rFonts w:hint="eastAsia" w:ascii="仿宋" w:hAnsi="仿宋" w:eastAsia="仿宋"/>
          <w:bCs/>
          <w:color w:val="000000"/>
          <w:sz w:val="32"/>
          <w:szCs w:val="32"/>
        </w:rPr>
        <w:t xml:space="preserve"> </w:t>
      </w:r>
      <w:r>
        <w:rPr>
          <w:rFonts w:hint="eastAsia" w:ascii="仿宋_GB2312" w:eastAsia="仿宋_GB2312"/>
          <w:color w:val="000000"/>
          <w:sz w:val="32"/>
          <w:szCs w:val="32"/>
        </w:rPr>
        <w:t>文化旅游体育与传媒（类）文物（款）博物馆（项）：指博物馆日常运行支出</w:t>
      </w:r>
      <w:r>
        <w:rPr>
          <w:rFonts w:hint="eastAsia" w:ascii="仿宋_GB2312" w:eastAsia="仿宋_GB2312"/>
          <w:bCs/>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bCs/>
          <w:sz w:val="32"/>
          <w:szCs w:val="32"/>
        </w:rPr>
        <w:t xml:space="preserve"> 社会保障和就业（类）行政事业单位养老支出（款）机关事业单位基本养老保险缴费支出（项）</w:t>
      </w:r>
      <w:r>
        <w:rPr>
          <w:rFonts w:hint="eastAsia" w:ascii="仿宋_GB2312" w:eastAsia="仿宋_GB2312"/>
          <w:color w:val="000000"/>
          <w:sz w:val="32"/>
          <w:szCs w:val="32"/>
        </w:rPr>
        <w:t>：指事业单位养老保险。</w:t>
      </w:r>
    </w:p>
    <w:p>
      <w:pPr>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医疗卫生与计划生育（类）</w:t>
      </w:r>
      <w:r>
        <w:rPr>
          <w:rFonts w:hint="eastAsia" w:ascii="仿宋_GB2312" w:eastAsia="仿宋_GB2312"/>
          <w:sz w:val="32"/>
          <w:szCs w:val="32"/>
        </w:rPr>
        <w:t>行政事业单位医疗（款）事业单位医疗（项）</w:t>
      </w:r>
      <w:r>
        <w:rPr>
          <w:rFonts w:hint="eastAsia" w:ascii="仿宋_GB2312" w:eastAsia="仿宋_GB2312"/>
          <w:color w:val="000000"/>
          <w:sz w:val="32"/>
          <w:szCs w:val="32"/>
        </w:rPr>
        <w:t>：指医疗保险支出。</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住房保障（类）住房改革支出（款） 住房公积金（项）：指住房公积金支出。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三公”经费：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6"/>
          <w:rFonts w:ascii="黑体" w:hAnsi="黑体" w:eastAsia="黑体"/>
          <w:b w:val="0"/>
        </w:rPr>
      </w:pPr>
      <w:bookmarkStart w:id="80" w:name="_Toc15377226"/>
      <w:r>
        <w:rPr>
          <w:rFonts w:ascii="宋体"/>
          <w:b/>
          <w:color w:val="000000"/>
          <w:sz w:val="44"/>
          <w:szCs w:val="44"/>
        </w:rPr>
        <w:br w:type="page"/>
      </w:r>
      <w:bookmarkStart w:id="81" w:name="_Toc8560"/>
      <w:bookmarkStart w:id="82" w:name="_Toc15396614"/>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81"/>
      <w:bookmarkEnd w:id="82"/>
    </w:p>
    <w:p>
      <w:pPr>
        <w:spacing w:line="600" w:lineRule="exact"/>
        <w:jc w:val="left"/>
        <w:outlineLvl w:val="0"/>
        <w:rPr>
          <w:rFonts w:ascii="方正小标宋简体" w:hAnsi="方正小标宋简体" w:eastAsia="方正小标宋简体" w:cs="方正小标宋简体"/>
          <w:sz w:val="32"/>
          <w:szCs w:val="32"/>
        </w:rPr>
      </w:pPr>
      <w:bookmarkStart w:id="83" w:name="_Toc7335"/>
      <w:r>
        <w:rPr>
          <w:rFonts w:hint="eastAsia" w:ascii="黑体" w:hAnsi="黑体" w:eastAsia="黑体" w:cs="黑体"/>
          <w:sz w:val="32"/>
          <w:szCs w:val="32"/>
        </w:rPr>
        <w:t>附件</w:t>
      </w:r>
      <w:r>
        <w:rPr>
          <w:rFonts w:ascii="黑体" w:hAnsi="黑体" w:eastAsia="黑体" w:cs="黑体"/>
          <w:sz w:val="32"/>
          <w:szCs w:val="32"/>
        </w:rPr>
        <w:t>1</w:t>
      </w:r>
      <w:bookmarkEnd w:id="83"/>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千佛崖</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ind w:firstLine="640" w:firstLineChars="200"/>
        <w:rPr>
          <w:rFonts w:ascii="仿宋" w:hAnsi="仿宋" w:eastAsia="仿宋"/>
          <w:bCs/>
          <w:color w:val="000000"/>
          <w:sz w:val="32"/>
          <w:szCs w:val="32"/>
        </w:rPr>
      </w:pPr>
      <w:r>
        <w:rPr>
          <w:rFonts w:hint="eastAsia" w:ascii="仿宋" w:hAnsi="仿宋" w:eastAsia="仿宋" w:cs="仿宋"/>
          <w:sz w:val="32"/>
          <w:szCs w:val="32"/>
        </w:rPr>
        <w:t>我单位千佛崖石刻艺术博物馆是隶属于文广旅的二级事业单位。</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ind w:firstLine="640" w:firstLineChars="200"/>
        <w:rPr>
          <w:rFonts w:ascii="仿宋_GB2312" w:hAnsi="宋体" w:eastAsia="仿宋_GB2312" w:cs="宋体"/>
          <w:color w:val="000000"/>
          <w:kern w:val="0"/>
          <w:sz w:val="32"/>
          <w:szCs w:val="32"/>
          <w:shd w:val="clear" w:color="auto" w:fill="FFFFFF"/>
          <w:lang w:val="zh-CN"/>
        </w:rPr>
      </w:pPr>
      <w:r>
        <w:rPr>
          <w:rFonts w:hint="eastAsia" w:ascii="仿宋" w:hAnsi="仿宋" w:eastAsia="仿宋" w:cs="仿宋"/>
          <w:sz w:val="32"/>
          <w:szCs w:val="32"/>
        </w:rPr>
        <w:t>我单位主要进行国家第一批重点文物千佛崖的保护与研究。</w:t>
      </w:r>
    </w:p>
    <w:p>
      <w:pPr>
        <w:widowControl/>
        <w:numPr>
          <w:ilvl w:val="0"/>
          <w:numId w:val="7"/>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adjustRightInd w:val="0"/>
        <w:snapToGrid w:val="0"/>
        <w:spacing w:line="580" w:lineRule="exact"/>
        <w:ind w:left="420" w:left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 xml:space="preserve">  我单位实有在编人数16人。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 w:hAnsi="仿宋" w:eastAsia="仿宋"/>
          <w:color w:val="000000"/>
          <w:sz w:val="32"/>
          <w:szCs w:val="32"/>
        </w:rPr>
        <w:t>2020</w:t>
      </w:r>
      <w:r>
        <w:rPr>
          <w:rFonts w:hint="eastAsia" w:ascii="仿宋" w:hAnsi="仿宋" w:eastAsia="仿宋"/>
          <w:color w:val="000000"/>
          <w:sz w:val="32"/>
          <w:szCs w:val="32"/>
        </w:rPr>
        <w:t>年度收入总计467.23万元，与</w:t>
      </w:r>
      <w:r>
        <w:rPr>
          <w:rFonts w:ascii="仿宋" w:hAnsi="仿宋" w:eastAsia="仿宋"/>
          <w:color w:val="000000"/>
          <w:sz w:val="32"/>
          <w:szCs w:val="32"/>
        </w:rPr>
        <w:t>2019</w:t>
      </w:r>
      <w:r>
        <w:rPr>
          <w:rFonts w:hint="eastAsia" w:ascii="仿宋" w:hAnsi="仿宋" w:eastAsia="仿宋"/>
          <w:color w:val="000000"/>
          <w:sz w:val="32"/>
          <w:szCs w:val="32"/>
        </w:rPr>
        <w:t>年相比，收入总计减少1764.31万元、下降79%，主要变动原因为2019年除本级财政收入外，还有国家文物局下达文物保护专项资金815万，及财政下达灾后重建欠款经费954万元均纳入本年财政收入中进行核算</w:t>
      </w:r>
    </w:p>
    <w:p>
      <w:pPr>
        <w:widowControl/>
        <w:numPr>
          <w:ilvl w:val="0"/>
          <w:numId w:val="8"/>
        </w:numPr>
        <w:adjustRightInd w:val="0"/>
        <w:snapToGrid w:val="0"/>
        <w:spacing w:line="580" w:lineRule="exact"/>
        <w:ind w:firstLine="64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left"/>
        <w:rPr>
          <w:rFonts w:ascii="仿宋" w:hAnsi="仿宋" w:eastAsia="仿宋"/>
          <w:color w:val="000000"/>
          <w:sz w:val="32"/>
          <w:szCs w:val="32"/>
        </w:rPr>
      </w:pPr>
      <w:r>
        <w:rPr>
          <w:rFonts w:hint="eastAsia" w:ascii="仿宋" w:hAnsi="仿宋" w:eastAsia="仿宋"/>
          <w:color w:val="000000"/>
          <w:sz w:val="32"/>
          <w:szCs w:val="32"/>
        </w:rPr>
        <w:t>2020年支出总计1740.72万元。支出总计减少656.44万元，下降27</w:t>
      </w:r>
      <w:r>
        <w:rPr>
          <w:rFonts w:ascii="仿宋" w:hAnsi="仿宋" w:eastAsia="仿宋"/>
          <w:color w:val="000000"/>
          <w:sz w:val="32"/>
          <w:szCs w:val="32"/>
        </w:rPr>
        <w:t>%</w:t>
      </w:r>
      <w:r>
        <w:rPr>
          <w:rFonts w:hint="eastAsia" w:ascii="仿宋" w:hAnsi="仿宋" w:eastAsia="仿宋"/>
          <w:color w:val="000000"/>
          <w:sz w:val="32"/>
          <w:szCs w:val="32"/>
        </w:rPr>
        <w:t>。主要变动原因是本年度文物保护专项项目支出减少、及2019年含灾后重建还款954万元。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我单位预算目标均按近</w:t>
      </w:r>
      <w:r>
        <w:rPr>
          <w:rFonts w:hint="eastAsia" w:ascii="仿宋_GB2312" w:hAnsi="宋体" w:eastAsia="仿宋_GB2312" w:cs="宋体"/>
          <w:color w:val="000000"/>
          <w:kern w:val="0"/>
          <w:sz w:val="32"/>
          <w:szCs w:val="32"/>
          <w:shd w:val="clear" w:color="auto" w:fill="FFFFFF"/>
        </w:rPr>
        <w:t>3年实际情况进行制定</w:t>
      </w:r>
      <w:r>
        <w:rPr>
          <w:rFonts w:hint="eastAsia" w:ascii="仿宋_GB2312" w:hAnsi="宋体" w:eastAsia="仿宋_GB2312" w:cs="宋体"/>
          <w:color w:val="000000"/>
          <w:kern w:val="0"/>
          <w:sz w:val="32"/>
          <w:szCs w:val="32"/>
          <w:shd w:val="clear" w:color="auto" w:fill="FFFFFF"/>
          <w:lang w:val="zh-CN"/>
        </w:rPr>
        <w:t>；目标基本能在年底实现；预算编制准确、支出控制、预算动态调整、执行进度等均由相关科室提供数据，单位组织会议讨论；预算完成情况良好和暂无违规记录。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通过绩效自评公开、评价结果整改和应用结果反馈来看我单位整体支出能达到预算</w:t>
      </w:r>
      <w:r>
        <w:rPr>
          <w:rFonts w:hint="eastAsia" w:ascii="仿宋_GB2312" w:hAnsi="宋体" w:eastAsia="仿宋_GB2312" w:cs="宋体"/>
          <w:color w:val="000000"/>
          <w:kern w:val="0"/>
          <w:sz w:val="32"/>
          <w:szCs w:val="32"/>
          <w:shd w:val="clear" w:color="auto" w:fill="FFFFFF"/>
        </w:rPr>
        <w:t>70%，个别类目能达到预算效果100%。</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因疫情影响，今年门票收入大幅度下降，但在政府及财政的支持下，我单位得以正常运转，整体决算达到预算申报的</w:t>
      </w:r>
      <w:r>
        <w:rPr>
          <w:rFonts w:hint="eastAsia" w:ascii="仿宋_GB2312" w:hAnsi="宋体" w:eastAsia="仿宋_GB2312" w:cs="宋体"/>
          <w:color w:val="000000"/>
          <w:kern w:val="0"/>
          <w:sz w:val="32"/>
          <w:szCs w:val="32"/>
          <w:shd w:val="clear" w:color="auto" w:fill="FFFFFF"/>
        </w:rPr>
        <w:t>70%以上。</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p>
    <w:p>
      <w:pPr>
        <w:widowControl/>
        <w:adjustRightInd w:val="0"/>
        <w:snapToGrid w:val="0"/>
        <w:spacing w:line="580" w:lineRule="exact"/>
        <w:ind w:left="420" w:left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 xml:space="preserve"> </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pStyle w:val="3"/>
        <w:rPr>
          <w:rFonts w:ascii="仿宋_GB2312" w:hAnsi="仿宋_GB2312" w:eastAsia="仿宋_GB2312" w:cs="仿宋_GB2312"/>
        </w:rPr>
      </w:pPr>
      <w:bookmarkStart w:id="84" w:name="_Toc13689"/>
      <w:r>
        <w:rPr>
          <w:rFonts w:hint="eastAsia"/>
        </w:rPr>
        <w:t>附件</w:t>
      </w:r>
      <w:r>
        <w:t>2</w:t>
      </w:r>
      <w:bookmarkEnd w:id="84"/>
    </w:p>
    <w:p>
      <w:pPr>
        <w:ind w:left="1080" w:leftChars="200" w:hanging="660" w:hangingChars="150"/>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千佛崖石刻艺术博物馆景区园林绿化</w:t>
      </w:r>
    </w:p>
    <w:p>
      <w:pPr>
        <w:ind w:left="1080" w:leftChars="200" w:hanging="660" w:hangingChars="150"/>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管理服务项目</w:t>
      </w:r>
      <w:r>
        <w:rPr>
          <w:rFonts w:ascii="方正小标宋简体" w:hAnsi="宋体" w:eastAsia="方正小标宋简体"/>
          <w:color w:val="000000"/>
          <w:kern w:val="0"/>
          <w:sz w:val="44"/>
          <w:szCs w:val="44"/>
          <w:lang w:val="zh-CN"/>
        </w:rPr>
        <w:t>2020</w:t>
      </w:r>
      <w:r>
        <w:rPr>
          <w:rFonts w:hint="eastAsia" w:ascii="方正小标宋简体" w:hAnsi="宋体" w:eastAsia="方正小标宋简体"/>
          <w:color w:val="000000"/>
          <w:kern w:val="0"/>
          <w:sz w:val="44"/>
          <w:szCs w:val="44"/>
          <w:lang w:val="zh-CN"/>
        </w:rPr>
        <w:t>年绩效评价报告</w:t>
      </w:r>
    </w:p>
    <w:p>
      <w:pPr>
        <w:spacing w:line="600" w:lineRule="exact"/>
        <w:rPr>
          <w:rFonts w:ascii="宋体"/>
          <w:sz w:val="32"/>
          <w:szCs w:val="32"/>
          <w:lang w:val="zh-CN"/>
        </w:rPr>
      </w:pPr>
    </w:p>
    <w:p>
      <w:pPr>
        <w:adjustRightInd w:val="0"/>
        <w:snapToGrid w:val="0"/>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ind w:firstLine="615"/>
        <w:jc w:val="left"/>
        <w:rPr>
          <w:rFonts w:ascii="仿宋" w:hAnsi="仿宋" w:eastAsia="仿宋"/>
          <w:sz w:val="30"/>
          <w:szCs w:val="30"/>
        </w:rPr>
      </w:pPr>
      <w:r>
        <w:rPr>
          <w:rFonts w:hint="eastAsia" w:ascii="仿宋" w:hAnsi="仿宋" w:eastAsia="仿宋"/>
          <w:sz w:val="32"/>
          <w:szCs w:val="32"/>
        </w:rPr>
        <w:t>千佛崖景区灾后重建工程完成后，景区面积已达300多亩，较原有景区面积增大了近10倍，景区的</w:t>
      </w:r>
      <w:r>
        <w:rPr>
          <w:rFonts w:hint="eastAsia" w:ascii="仿宋" w:hAnsi="仿宋" w:eastAsia="仿宋"/>
          <w:bCs/>
          <w:sz w:val="32"/>
          <w:szCs w:val="32"/>
        </w:rPr>
        <w:t>绿化管理服务</w:t>
      </w:r>
      <w:r>
        <w:rPr>
          <w:rFonts w:hint="eastAsia" w:ascii="仿宋" w:hAnsi="仿宋" w:eastAsia="仿宋"/>
          <w:sz w:val="32"/>
          <w:szCs w:val="32"/>
        </w:rPr>
        <w:t>面积也随之增大，目前需要</w:t>
      </w:r>
      <w:r>
        <w:rPr>
          <w:rFonts w:hint="eastAsia" w:ascii="仿宋" w:hAnsi="仿宋" w:eastAsia="仿宋"/>
          <w:bCs/>
          <w:sz w:val="32"/>
          <w:szCs w:val="32"/>
        </w:rPr>
        <w:t>管理服务</w:t>
      </w:r>
      <w:r>
        <w:rPr>
          <w:rFonts w:hint="eastAsia" w:ascii="仿宋" w:hAnsi="仿宋" w:eastAsia="仿宋" w:cs="Proxy 2"/>
          <w:bCs/>
          <w:color w:val="000000"/>
          <w:kern w:val="0"/>
          <w:sz w:val="32"/>
          <w:szCs w:val="32"/>
          <w:lang w:val="zh-CN"/>
        </w:rPr>
        <w:t>的面积约66000平方米。</w:t>
      </w:r>
      <w:r>
        <w:rPr>
          <w:rFonts w:hint="eastAsia" w:ascii="仿宋" w:hAnsi="仿宋" w:eastAsia="仿宋"/>
          <w:bCs/>
          <w:sz w:val="32"/>
          <w:szCs w:val="32"/>
        </w:rPr>
        <w:t>管理服务</w:t>
      </w:r>
      <w:r>
        <w:rPr>
          <w:rFonts w:hint="eastAsia" w:ascii="仿宋" w:hAnsi="仿宋" w:eastAsia="仿宋" w:cs="Proxy 2"/>
          <w:bCs/>
          <w:color w:val="000000"/>
          <w:kern w:val="0"/>
          <w:sz w:val="32"/>
          <w:szCs w:val="32"/>
          <w:lang w:val="zh-CN"/>
        </w:rPr>
        <w:t>的主要内容有：除草、浇水排涝、施肥、修剪整型、防风防冻、松土整地、病虫害防治、枯枝落叶清理、补植、</w:t>
      </w:r>
      <w:r>
        <w:rPr>
          <w:rFonts w:hint="eastAsia" w:ascii="仿宋" w:hAnsi="仿宋" w:eastAsia="仿宋" w:cs="Proxy 2"/>
          <w:bCs/>
          <w:kern w:val="0"/>
          <w:sz w:val="32"/>
          <w:szCs w:val="32"/>
          <w:lang w:val="zh-CN"/>
        </w:rPr>
        <w:t>盆景培育及养护、</w:t>
      </w:r>
      <w:r>
        <w:rPr>
          <w:rFonts w:hint="eastAsia" w:ascii="仿宋" w:hAnsi="仿宋" w:eastAsia="仿宋" w:cs="Proxy 2"/>
          <w:bCs/>
          <w:color w:val="000000"/>
          <w:kern w:val="0"/>
          <w:sz w:val="32"/>
          <w:szCs w:val="32"/>
          <w:lang w:val="zh-CN"/>
        </w:rPr>
        <w:t>巡护等。</w:t>
      </w:r>
      <w:r>
        <w:rPr>
          <w:rFonts w:hint="eastAsia" w:ascii="仿宋" w:hAnsi="仿宋" w:eastAsia="仿宋"/>
          <w:sz w:val="32"/>
          <w:szCs w:val="32"/>
        </w:rPr>
        <w:t>我馆按照《政府采购法》及《四川省人民政府办公厅关于印发四川省2018－2019年政府集中采购目录及采购限额标准的通知》的有关规定，对千佛崖景区园林绿化管理服务项目进行了公开采购，并对该项目</w:t>
      </w:r>
      <w:r>
        <w:rPr>
          <w:rFonts w:hint="eastAsia" w:ascii="仿宋" w:hAnsi="仿宋" w:eastAsia="仿宋"/>
          <w:bCs/>
          <w:sz w:val="32"/>
          <w:szCs w:val="32"/>
        </w:rPr>
        <w:t>负责组织实施及管理。</w:t>
      </w:r>
    </w:p>
    <w:p>
      <w:pPr>
        <w:ind w:firstLine="615"/>
        <w:jc w:val="left"/>
        <w:rPr>
          <w:rFonts w:ascii="仿宋" w:hAnsi="仿宋" w:eastAsia="仿宋"/>
          <w:bCs/>
          <w:sz w:val="32"/>
          <w:szCs w:val="32"/>
        </w:rPr>
      </w:pPr>
      <w:r>
        <w:rPr>
          <w:rFonts w:hint="eastAsia" w:ascii="仿宋" w:hAnsi="仿宋" w:eastAsia="仿宋"/>
          <w:bCs/>
          <w:sz w:val="32"/>
          <w:szCs w:val="32"/>
        </w:rPr>
        <w:t>我馆按照《政府采购法》及《四川省人民政府办公厅关于印发四川省2018－2019年政府集中采购目录及采购限额标准的通知》的有关规定进行项目立项、资金申报。</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p>
    <w:p>
      <w:pPr>
        <w:pStyle w:val="33"/>
        <w:widowControl/>
        <w:spacing w:before="93"/>
        <w:ind w:firstLine="640" w:firstLineChars="200"/>
        <w:rPr>
          <w:rFonts w:ascii="仿宋" w:hAnsi="仿宋" w:eastAsia="仿宋"/>
          <w:sz w:val="32"/>
          <w:szCs w:val="32"/>
        </w:rPr>
      </w:pPr>
      <w:r>
        <w:rPr>
          <w:rFonts w:hint="eastAsia" w:ascii="仿宋" w:hAnsi="仿宋" w:eastAsia="仿宋"/>
          <w:sz w:val="32"/>
          <w:szCs w:val="32"/>
        </w:rPr>
        <w:t>对千佛崖景区绿化苗木进行养护服务，面积约66000平方米。</w:t>
      </w:r>
    </w:p>
    <w:p>
      <w:pPr>
        <w:adjustRightInd w:val="0"/>
        <w:snapToGrid w:val="0"/>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w:t>
      </w:r>
    </w:p>
    <w:p>
      <w:pPr>
        <w:ind w:firstLine="633" w:firstLineChars="198"/>
        <w:jc w:val="left"/>
        <w:rPr>
          <w:rFonts w:ascii="仿宋" w:hAnsi="仿宋" w:eastAsia="仿宋"/>
          <w:sz w:val="32"/>
          <w:szCs w:val="32"/>
        </w:rPr>
      </w:pPr>
      <w:r>
        <w:rPr>
          <w:rFonts w:hint="eastAsia" w:ascii="仿宋" w:hAnsi="仿宋" w:eastAsia="仿宋"/>
          <w:sz w:val="32"/>
          <w:szCs w:val="32"/>
        </w:rPr>
        <w:t>认真做好绿化带除草及枯枝落叶等杂物的清理工作，经常保持绿化带整洁干净；经常对需要修剪的花草树木进行修剪，保持景区绿化植被整齐美观；随时观察苗木的生长情况，及时发现病虫害和做好病虫害防治工作；适时对各种苗木做好浇水和排涝工作，防止苗木旱死、涝死，确保苗木长势良好；认真做好苗木防冻、防风工作，积极采取各种防冻、防风措施，防止苗木冻死冻伤或被风吹倒；适时对绿化地进行平整和松土，保持土壤不板结、绿化带不坑坑洼洼；注意经常观察苗木的生长情况，发现异常情况要积极采取有效措施预防苗木损害、死亡，并及时向采购人报告；适时对景区绿化苗木做好全面施肥工作，一年中对景区绿化苗木进行全面施肥次数不得少于2次，确保绿化苗木不缺肥，枝繁叶茂；对景区古树名木实施挂牌精细养护。</w:t>
      </w:r>
    </w:p>
    <w:p>
      <w:pPr>
        <w:pStyle w:val="34"/>
        <w:ind w:firstLine="64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．我馆按照《政府采购法》的有关要求对千佛崖景区园林绿化管理服务项目依法进行了政府采购，申报内容与实际相符，申报目标合理可行。</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34"/>
        <w:ind w:firstLine="640"/>
        <w:rPr>
          <w:rFonts w:ascii="仿宋" w:hAnsi="仿宋" w:eastAsia="仿宋" w:cs="宋体"/>
          <w:sz w:val="32"/>
          <w:szCs w:val="32"/>
        </w:rPr>
      </w:pPr>
      <w:r>
        <w:rPr>
          <w:rFonts w:hint="eastAsia" w:ascii="仿宋" w:hAnsi="仿宋" w:eastAsia="仿宋" w:cs="宋体"/>
          <w:sz w:val="32"/>
          <w:szCs w:val="32"/>
        </w:rPr>
        <w:t>本项目采购人将严格按照政府采购相关法律法规以及《四川省政府采购项目需求论证和履约验收管理办法》（川财采〔2015〕32号）的要求，组织相关专业人员对本项目进行验收。并坚持经常对园林绿化管理服务工作进行检查督促，保证景区绿化苗木长势良好。</w:t>
      </w:r>
    </w:p>
    <w:p>
      <w:pPr>
        <w:adjustRightInd w:val="0"/>
        <w:snapToGrid w:val="0"/>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ind w:firstLine="640" w:firstLineChars="200"/>
        <w:rPr>
          <w:rFonts w:ascii="仿宋" w:hAnsi="仿宋" w:eastAsia="仿宋"/>
          <w:sz w:val="32"/>
          <w:szCs w:val="32"/>
        </w:rPr>
      </w:pPr>
      <w:r>
        <w:rPr>
          <w:rFonts w:hint="eastAsia" w:ascii="仿宋" w:hAnsi="仿宋" w:eastAsia="仿宋"/>
          <w:sz w:val="32"/>
          <w:szCs w:val="32"/>
        </w:rPr>
        <w:t>我馆按照《政府采购法》及《四川省人民政府办公厅关于印发四川省2018－2019年政府集中采购目录及采购限额标准的通知》的有关规定，向市文化广播电视和旅游局、市财政局进行项目资金申报，批复同意。</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（二）资金计划、到位及使用情况</w:t>
      </w:r>
    </w:p>
    <w:p>
      <w:pPr>
        <w:adjustRightInd w:val="0"/>
        <w:snapToGrid w:val="0"/>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主要为财政补助收入。</w:t>
      </w:r>
    </w:p>
    <w:p>
      <w:pPr>
        <w:adjustRightInd w:val="0"/>
        <w:snapToGrid w:val="0"/>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财政按每年申报进行批复计划。按实际门票收入缴款额度进行计划使用情况的批准。</w:t>
      </w:r>
    </w:p>
    <w:p>
      <w:pPr>
        <w:adjustRightInd w:val="0"/>
        <w:snapToGrid w:val="0"/>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按实际发生的费用进行支付。</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ind w:firstLine="640" w:firstLineChars="200"/>
        <w:rPr>
          <w:rFonts w:ascii="仿宋" w:hAnsi="仿宋" w:eastAsia="仿宋"/>
          <w:sz w:val="32"/>
          <w:szCs w:val="32"/>
        </w:rPr>
      </w:pPr>
      <w:r>
        <w:rPr>
          <w:rFonts w:hint="eastAsia" w:ascii="仿宋" w:hAnsi="仿宋" w:eastAsia="仿宋"/>
          <w:sz w:val="32"/>
          <w:szCs w:val="32"/>
        </w:rPr>
        <w:t>项目实施单位财务管理制度健全，严格执行财务管理制度，账务处理及时，会计核算规范。</w:t>
      </w:r>
    </w:p>
    <w:p>
      <w:pPr>
        <w:adjustRightInd w:val="0"/>
        <w:snapToGrid w:val="0"/>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34"/>
        <w:ind w:firstLine="640"/>
        <w:rPr>
          <w:rFonts w:ascii="仿宋" w:hAnsi="仿宋" w:eastAsia="仿宋"/>
          <w:bCs/>
          <w:sz w:val="32"/>
          <w:szCs w:val="32"/>
        </w:rPr>
      </w:pPr>
      <w:r>
        <w:rPr>
          <w:rFonts w:hint="eastAsia" w:ascii="仿宋" w:hAnsi="仿宋" w:eastAsia="仿宋"/>
          <w:bCs/>
          <w:sz w:val="32"/>
          <w:szCs w:val="32"/>
        </w:rPr>
        <w:t>本项目由采购人－广元市千佛崖石刻艺术博物馆负责组织实施及管理，坚持经常对园林绿化管理服务单位的工作进行检查督促，保证景区绿化苗木长势良好。</w:t>
      </w:r>
    </w:p>
    <w:p>
      <w:pPr>
        <w:adjustRightInd w:val="0"/>
        <w:snapToGrid w:val="0"/>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p>
    <w:p>
      <w:pPr>
        <w:pStyle w:val="5"/>
        <w:spacing w:before="93"/>
        <w:ind w:firstLine="755" w:firstLineChars="236"/>
        <w:rPr>
          <w:rFonts w:hAnsi="宋体"/>
          <w:sz w:val="32"/>
          <w:szCs w:val="32"/>
          <w:lang w:val="zh-CN"/>
        </w:rPr>
      </w:pPr>
      <w:r>
        <w:rPr>
          <w:rFonts w:hint="eastAsia" w:hAnsi="宋体"/>
          <w:sz w:val="32"/>
          <w:szCs w:val="32"/>
          <w:lang w:val="zh-CN"/>
        </w:rPr>
        <w:t>本项目采购人严格按照政府采购相关法律法规以及《四川省政府采购项目需求论证和履约验收管理办法》（川财采〔2015〕32号）的要求，对本项目进行管理，项目实施单位能够认真执行相关法律法规及项目管理制度。</w:t>
      </w:r>
    </w:p>
    <w:p>
      <w:pPr>
        <w:adjustRightInd w:val="0"/>
        <w:snapToGrid w:val="0"/>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p>
    <w:p>
      <w:pPr>
        <w:ind w:firstLine="640" w:firstLineChars="200"/>
        <w:rPr>
          <w:rFonts w:ascii="仿宋" w:hAnsi="仿宋" w:eastAsia="仿宋"/>
          <w:sz w:val="32"/>
          <w:szCs w:val="32"/>
        </w:rPr>
      </w:pPr>
      <w:r>
        <w:rPr>
          <w:rFonts w:hint="eastAsia" w:ascii="仿宋" w:hAnsi="仿宋" w:eastAsia="仿宋"/>
          <w:sz w:val="32"/>
          <w:szCs w:val="32"/>
        </w:rPr>
        <w:t>采购人根据服务要求的具体内容对服务单位进行考核检查，对服务单位因失职造成花草树木损坏、死亡的，采购人将根据损坏、死亡苗木的实际市场价值追究服务单位相应的赔偿责任，造成绿化苗木较大损失的，采购人除追究服务单位相应的赔偿责任外，还有权解除服务合同关系。</w:t>
      </w:r>
    </w:p>
    <w:p>
      <w:pPr>
        <w:ind w:firstLine="640" w:firstLineChars="200"/>
        <w:rPr>
          <w:rFonts w:ascii="仿宋" w:hAnsi="仿宋" w:eastAsia="仿宋"/>
          <w:sz w:val="32"/>
          <w:szCs w:val="32"/>
        </w:rPr>
      </w:pPr>
      <w:r>
        <w:rPr>
          <w:rFonts w:hint="eastAsia" w:ascii="仿宋" w:hAnsi="仿宋" w:eastAsia="仿宋"/>
          <w:sz w:val="32"/>
          <w:szCs w:val="32"/>
        </w:rPr>
        <w:t>在经常对园林绿化管理服务工作进行检查督促中，使发现的问题及时得到了整改，没有造成不良影响，工作开展顺利，效果良好。</w:t>
      </w:r>
    </w:p>
    <w:p>
      <w:pPr>
        <w:adjustRightInd w:val="0"/>
        <w:snapToGrid w:val="0"/>
        <w:ind w:firstLine="720"/>
        <w:rPr>
          <w:rFonts w:ascii="黑体" w:hAnsi="黑体" w:eastAsia="黑体"/>
          <w:b/>
          <w:bCs/>
          <w:sz w:val="32"/>
          <w:szCs w:val="32"/>
        </w:rPr>
      </w:pPr>
      <w:r>
        <w:rPr>
          <w:rFonts w:hint="eastAsia" w:ascii="黑体" w:hAnsi="黑体" w:eastAsia="黑体"/>
          <w:b/>
          <w:bCs/>
          <w:sz w:val="32"/>
          <w:szCs w:val="32"/>
        </w:rPr>
        <w:t>四、项目绩效情况</w:t>
      </w:r>
      <w:r>
        <w:rPr>
          <w:rFonts w:ascii="黑体" w:hAnsi="黑体" w:eastAsia="黑体"/>
          <w:b/>
          <w:bCs/>
          <w:sz w:val="32"/>
          <w:szCs w:val="32"/>
        </w:rPr>
        <w:tab/>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suppressAutoHyphens/>
        <w:ind w:firstLine="640" w:firstLineChars="200"/>
        <w:rPr>
          <w:rFonts w:ascii="仿宋" w:hAnsi="仿宋" w:eastAsia="仿宋"/>
          <w:sz w:val="32"/>
          <w:szCs w:val="32"/>
        </w:rPr>
      </w:pPr>
      <w:r>
        <w:rPr>
          <w:rFonts w:hint="eastAsia" w:ascii="仿宋" w:hAnsi="仿宋" w:eastAsia="仿宋"/>
          <w:sz w:val="32"/>
          <w:szCs w:val="32"/>
        </w:rPr>
        <w:t>绿化管理服务单位认真做好了景区的园林绿化管理服务工作，使景区能够经常保持整洁、美观。为广大游客和周围群众创造了一个良好的游览环境和休闲场所，为文物的保护创造了一个良好的环境，游客和周围群众对景区绿化面貌满意度较高。</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suppressAutoHyphens/>
        <w:ind w:firstLine="640" w:firstLineChars="200"/>
        <w:rPr>
          <w:rFonts w:ascii="仿宋" w:hAnsi="仿宋" w:eastAsia="仿宋"/>
          <w:sz w:val="32"/>
          <w:szCs w:val="32"/>
        </w:rPr>
      </w:pPr>
      <w:r>
        <w:rPr>
          <w:rFonts w:hint="eastAsia" w:ascii="仿宋" w:hAnsi="仿宋" w:eastAsia="仿宋"/>
          <w:sz w:val="32"/>
          <w:szCs w:val="32"/>
        </w:rPr>
        <w:t>通过实施本项目，使景区能够经常保持整洁、美观。</w:t>
      </w:r>
      <w:r>
        <w:rPr>
          <w:rFonts w:hint="eastAsia" w:ascii="仿宋" w:hAnsi="仿宋" w:eastAsia="仿宋" w:cstheme="minorEastAsia"/>
          <w:sz w:val="30"/>
          <w:szCs w:val="30"/>
        </w:rPr>
        <w:t>为广大</w:t>
      </w:r>
      <w:r>
        <w:rPr>
          <w:rFonts w:hint="eastAsia" w:ascii="仿宋" w:hAnsi="仿宋" w:eastAsia="仿宋"/>
          <w:sz w:val="32"/>
          <w:szCs w:val="32"/>
        </w:rPr>
        <w:t>游客和周围</w:t>
      </w:r>
      <w:r>
        <w:rPr>
          <w:rFonts w:hint="eastAsia" w:ascii="仿宋" w:hAnsi="仿宋" w:eastAsia="仿宋" w:cstheme="minorEastAsia"/>
          <w:sz w:val="30"/>
          <w:szCs w:val="30"/>
        </w:rPr>
        <w:t>群众</w:t>
      </w:r>
      <w:r>
        <w:rPr>
          <w:rFonts w:hint="eastAsia" w:ascii="仿宋" w:hAnsi="仿宋" w:eastAsia="仿宋"/>
          <w:sz w:val="32"/>
          <w:szCs w:val="32"/>
        </w:rPr>
        <w:t>创造了一个良好的游览环境和休闲场所，为文物的保护创造了一个良好的环境，游客和周围群众对景区绿化面貌的满意度不断提高，为景区的长远发展打下了一个良好的基础。</w:t>
      </w:r>
    </w:p>
    <w:p>
      <w:pPr>
        <w:adjustRightInd w:val="0"/>
        <w:snapToGrid w:val="0"/>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suppressAutoHyphens/>
        <w:ind w:firstLine="640" w:firstLineChars="200"/>
        <w:rPr>
          <w:rFonts w:ascii="仿宋" w:hAnsi="仿宋" w:eastAsia="仿宋" w:cstheme="minorEastAsia"/>
          <w:sz w:val="32"/>
          <w:szCs w:val="32"/>
        </w:rPr>
      </w:pPr>
      <w:r>
        <w:rPr>
          <w:rFonts w:hint="eastAsia" w:ascii="仿宋_GB2312" w:hAnsi="宋体" w:eastAsia="仿宋_GB2312"/>
          <w:sz w:val="32"/>
          <w:szCs w:val="32"/>
          <w:lang w:val="zh-CN"/>
        </w:rPr>
        <w:t>本项目资金的支出，保证了项目的顺</w:t>
      </w:r>
      <w:r>
        <w:rPr>
          <w:rFonts w:hint="eastAsia" w:ascii="仿宋" w:hAnsi="仿宋" w:eastAsia="仿宋"/>
          <w:sz w:val="32"/>
          <w:szCs w:val="32"/>
        </w:rPr>
        <w:t>利实施，使景区绿化面貌能够经常保持整洁、美观。</w:t>
      </w:r>
      <w:r>
        <w:rPr>
          <w:rFonts w:hint="eastAsia" w:ascii="仿宋" w:hAnsi="仿宋" w:eastAsia="仿宋" w:cstheme="minorEastAsia"/>
          <w:sz w:val="32"/>
          <w:szCs w:val="32"/>
        </w:rPr>
        <w:t>为广大游客和周围群众创造了一个良好的游览环境和休闲场所，</w:t>
      </w:r>
      <w:r>
        <w:rPr>
          <w:rFonts w:hint="eastAsia" w:ascii="仿宋" w:hAnsi="仿宋" w:eastAsia="仿宋"/>
          <w:sz w:val="32"/>
          <w:szCs w:val="32"/>
        </w:rPr>
        <w:t>为文物的保护创造了一个良好的环境</w:t>
      </w:r>
      <w:r>
        <w:rPr>
          <w:rFonts w:hint="eastAsia" w:ascii="仿宋" w:hAnsi="仿宋" w:eastAsia="仿宋" w:cstheme="minorEastAsia"/>
          <w:sz w:val="32"/>
          <w:szCs w:val="32"/>
        </w:rPr>
        <w:t>，游客和周围群众对景区绿化面貌的满意度不断提高，为景区的长远发展打下了一个良好的基础，使</w:t>
      </w:r>
      <w:r>
        <w:rPr>
          <w:rFonts w:hint="eastAsia" w:ascii="仿宋_GB2312" w:hAnsi="宋体" w:eastAsia="仿宋_GB2312"/>
          <w:sz w:val="32"/>
          <w:szCs w:val="32"/>
          <w:lang w:val="zh-CN"/>
        </w:rPr>
        <w:t>项目资金发挥了较好的社会效益。</w:t>
      </w: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pStyle w:val="3"/>
        <w:rPr>
          <w:rStyle w:val="16"/>
          <w:rFonts w:ascii="黑体" w:hAnsi="黑体" w:eastAsia="黑体"/>
          <w:b w:val="0"/>
          <w:bCs/>
        </w:rPr>
      </w:pPr>
      <w:bookmarkStart w:id="85" w:name="_Toc14480"/>
      <w:r>
        <w:rPr>
          <w:rFonts w:hint="eastAsia"/>
        </w:rPr>
        <w:t>附件</w:t>
      </w:r>
      <w:r>
        <w:rPr>
          <w:rFonts w:hint="eastAsia"/>
          <w:lang w:val="en-US" w:eastAsia="zh-CN"/>
        </w:rPr>
        <w:t>3</w:t>
      </w:r>
      <w:bookmarkEnd w:id="85"/>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安防</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安防项目为我单位长期项目之一。我单位除景区文物保护职能外，兼顾景区安全监控的职责，为保证文物安全，特设立安防经费项目，资金来源于财政拨款。本项目申报主要依据为上</w:t>
      </w:r>
      <w:r>
        <w:rPr>
          <w:rFonts w:hint="eastAsia" w:ascii="仿宋_GB2312" w:hAnsi="宋体" w:eastAsia="仿宋_GB2312"/>
          <w:sz w:val="32"/>
          <w:szCs w:val="32"/>
        </w:rPr>
        <w:t>3年安防经费平均数进行预算申报。</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．项目主要主要用于景区安全方面的支出，例如：聘用保安人员的工资、保险；景区监控设施安装、更换；安防系统的更新等等。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．项目实现的具体绩效目标主要为压缩聘用人员工资支出，保证文物安全等方面。</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项目绩效自评一方面核算当年支出安防经费总额与预算的对比数；另一方面总结当年是否是安全方面的事故发生。</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项目为长期项目，上一年度向财政申报下一年度用款计划及数额。</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主要为财政补助收入。</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财政按每年申报进行批复计划。按实际门票收入缴款额度进行计划使用情况的批准。</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按实际发生的费用进行支付。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项目实施单位财务管理制度健全，严格执行财务管理制度，账务处理及时，会计核算规范。</w:t>
      </w:r>
    </w:p>
    <w:p>
      <w:pPr>
        <w:numPr>
          <w:ilvl w:val="0"/>
          <w:numId w:val="9"/>
        </w:num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项目实施及管理情况</w:t>
      </w:r>
      <w:r>
        <w:rPr>
          <w:rFonts w:hint="eastAsia" w:ascii="仿宋_GB2312" w:hAnsi="宋体" w:eastAsia="仿宋_GB2312"/>
          <w:sz w:val="32"/>
          <w:szCs w:val="32"/>
          <w:lang w:val="zh-CN"/>
        </w:rPr>
        <w:t>。</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项目实施按实际发生进行核算。管理方面按事业单位一般资金使用进行监管。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
          <w:bCs/>
          <w:sz w:val="32"/>
          <w:szCs w:val="32"/>
          <w:lang w:val="zh-CN"/>
        </w:rPr>
        <w:t>该项目完成全年聘用人员工资、保险发放；新增一监控点，针对安全方面游客满意度达</w:t>
      </w:r>
      <w:r>
        <w:rPr>
          <w:rFonts w:hint="eastAsia" w:ascii="仿宋" w:hAnsi="仿宋" w:eastAsia="仿宋" w:cs="仿宋"/>
          <w:bCs/>
          <w:sz w:val="32"/>
          <w:szCs w:val="32"/>
        </w:rPr>
        <w:t>90%以上。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该项目为日常项目，并无其他例外，保证景区正常运转，员工工资发放到位、保险缴纳及时即可。</w:t>
      </w: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widowControl/>
        <w:jc w:val="left"/>
        <w:rPr>
          <w:rStyle w:val="16"/>
          <w:rFonts w:ascii="黑体" w:hAnsi="黑体" w:eastAsia="黑体"/>
          <w:b w:val="0"/>
        </w:rPr>
      </w:pPr>
    </w:p>
    <w:p>
      <w:pPr>
        <w:pStyle w:val="3"/>
        <w:rPr>
          <w:rStyle w:val="16"/>
          <w:rFonts w:ascii="黑体" w:hAnsi="黑体" w:eastAsia="黑体"/>
          <w:b w:val="0"/>
          <w:bCs/>
        </w:rPr>
      </w:pPr>
      <w:bookmarkStart w:id="86" w:name="_Toc16342"/>
      <w:r>
        <w:rPr>
          <w:rFonts w:hint="eastAsia"/>
        </w:rPr>
        <w:t>附件</w:t>
      </w:r>
      <w:r>
        <w:rPr>
          <w:rFonts w:hint="eastAsia"/>
          <w:lang w:val="en-US" w:eastAsia="zh-CN"/>
        </w:rPr>
        <w:t>4</w:t>
      </w:r>
      <w:bookmarkEnd w:id="86"/>
    </w:p>
    <w:p>
      <w:pPr>
        <w:widowControl/>
        <w:jc w:val="left"/>
        <w:rPr>
          <w:rStyle w:val="16"/>
          <w:rFonts w:ascii="黑体" w:hAnsi="黑体" w:eastAsia="黑体"/>
          <w:b w:val="0"/>
        </w:rPr>
      </w:pPr>
    </w:p>
    <w:p>
      <w:pPr>
        <w:shd w:val="clear" w:color="auto" w:fill="FFFFFF"/>
        <w:tabs>
          <w:tab w:val="left" w:pos="7560"/>
        </w:tabs>
        <w:snapToGrid w:val="0"/>
        <w:spacing w:line="600" w:lineRule="exact"/>
        <w:ind w:left="2376" w:leftChars="199" w:hanging="1958" w:hangingChars="445"/>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广元市千佛崖石刻艺术博物馆</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景区清扫保洁及垃圾清运项目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ind w:firstLine="615"/>
        <w:jc w:val="left"/>
        <w:rPr>
          <w:rFonts w:ascii="仿宋" w:hAnsi="仿宋" w:eastAsia="仿宋"/>
          <w:sz w:val="32"/>
          <w:szCs w:val="32"/>
        </w:rPr>
      </w:pPr>
      <w:r>
        <w:rPr>
          <w:rFonts w:hint="eastAsia" w:ascii="仿宋" w:hAnsi="仿宋" w:eastAsia="仿宋"/>
          <w:sz w:val="32"/>
          <w:szCs w:val="32"/>
        </w:rPr>
        <w:t>千佛崖景区灾后重建完成后，面积已达300多亩，较原有面积增大了近10倍，景区的环境卫生清扫保洁面积也随之增大了近10倍。为了进一步提高景区环境卫生工作水平，为游客的游览和文物的保护创造一个良好的环境，我馆按照《政府采购法》的有关要求对千佛崖景区清扫保洁及垃圾清运项目依法进行了政府采购，并对该项目</w:t>
      </w:r>
      <w:r>
        <w:rPr>
          <w:rFonts w:hint="eastAsia" w:ascii="仿宋" w:hAnsi="仿宋" w:eastAsia="仿宋"/>
          <w:bCs/>
          <w:sz w:val="32"/>
          <w:szCs w:val="32"/>
        </w:rPr>
        <w:t>负责组织实施及管理。</w:t>
      </w:r>
    </w:p>
    <w:p>
      <w:pPr>
        <w:adjustRightInd w:val="0"/>
        <w:snapToGrid w:val="0"/>
        <w:spacing w:line="600" w:lineRule="exact"/>
        <w:ind w:firstLine="720"/>
        <w:rPr>
          <w:rFonts w:ascii="仿宋" w:hAnsi="仿宋" w:eastAsia="仿宋"/>
          <w:sz w:val="32"/>
          <w:szCs w:val="32"/>
        </w:rPr>
      </w:pPr>
      <w:r>
        <w:rPr>
          <w:rFonts w:hint="eastAsia" w:ascii="仿宋" w:hAnsi="仿宋" w:eastAsia="仿宋"/>
          <w:sz w:val="32"/>
          <w:szCs w:val="32"/>
        </w:rPr>
        <w:t>我馆按照《政府采购法》及《四川省人民政府办公厅关于印发四川省2018－2019年政府集中采购目录及采购限额标准的通知》的有关规定进行</w:t>
      </w:r>
      <w:r>
        <w:rPr>
          <w:rFonts w:hint="eastAsia" w:ascii="仿宋" w:hAnsi="仿宋" w:eastAsia="仿宋"/>
          <w:sz w:val="32"/>
          <w:szCs w:val="32"/>
          <w:lang w:val="zh-CN"/>
        </w:rPr>
        <w:t>项目立项、资金申报</w:t>
      </w:r>
      <w:r>
        <w:rPr>
          <w:rFonts w:hint="eastAsia" w:ascii="仿宋" w:hAnsi="仿宋" w:eastAsia="仿宋"/>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Style w:val="33"/>
        <w:widowControl/>
        <w:spacing w:before="93" w:line="400" w:lineRule="exact"/>
        <w:ind w:firstLine="640" w:firstLineChars="200"/>
        <w:rPr>
          <w:rFonts w:ascii="仿宋" w:hAnsi="仿宋" w:eastAsia="仿宋" w:cs="宋体"/>
          <w:sz w:val="32"/>
          <w:szCs w:val="32"/>
        </w:rPr>
      </w:pPr>
      <w:r>
        <w:rPr>
          <w:rFonts w:hint="eastAsia" w:ascii="仿宋" w:hAnsi="仿宋" w:eastAsia="仿宋" w:cs="宋体"/>
          <w:sz w:val="32"/>
          <w:szCs w:val="32"/>
        </w:rPr>
        <w:t>对千佛崖景区范围内的环境卫生进行清扫、保洁，并对产生的垃圾进行清运。</w:t>
      </w:r>
    </w:p>
    <w:p>
      <w:pPr>
        <w:widowControl/>
        <w:spacing w:line="400" w:lineRule="exact"/>
        <w:ind w:firstLine="640" w:firstLineChars="200"/>
        <w:rPr>
          <w:rFonts w:ascii="仿宋" w:hAnsi="仿宋" w:eastAsia="仿宋" w:cs="宋体"/>
          <w:sz w:val="32"/>
          <w:szCs w:val="32"/>
        </w:rPr>
      </w:pPr>
      <w:r>
        <w:rPr>
          <w:rFonts w:hint="eastAsia" w:ascii="仿宋" w:hAnsi="仿宋" w:eastAsia="仿宋" w:cs="宋体"/>
          <w:sz w:val="32"/>
          <w:szCs w:val="32"/>
        </w:rPr>
        <w:t>保洁人员必须每日对清洁区进行全面认真的打扫，并经常对环境卫生情况进行巡查，随时保持景区内无垃圾、无痰迹、无杂物。同时，要认真做好节假日、旅游黄金周和平时检查期间的各项卫生保洁工作，确保景区在上述期间无环境卫生问题投诉。</w:t>
      </w:r>
    </w:p>
    <w:p>
      <w:pPr>
        <w:adjustRightInd w:val="0"/>
        <w:snapToGrid w:val="0"/>
        <w:spacing w:line="600" w:lineRule="exact"/>
        <w:ind w:firstLine="720"/>
        <w:rPr>
          <w:rFonts w:ascii="仿宋" w:hAnsi="仿宋" w:eastAsia="仿宋"/>
          <w:bCs/>
          <w:sz w:val="32"/>
          <w:szCs w:val="32"/>
          <w:lang w:val="zh-CN"/>
        </w:rPr>
      </w:pPr>
      <w:r>
        <w:rPr>
          <w:rFonts w:hint="eastAsia" w:ascii="仿宋" w:hAnsi="仿宋" w:eastAsia="仿宋"/>
          <w:bCs/>
          <w:sz w:val="32"/>
          <w:szCs w:val="32"/>
          <w:lang w:val="zh-CN"/>
        </w:rPr>
        <w:t>我馆按照《政府采购法》的有关要求对千佛崖景区清扫保洁及垃圾清运项目依法进行了政府采购，申报内容与实际相符，申报目标合理可行。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34"/>
        <w:ind w:firstLine="640"/>
        <w:rPr>
          <w:rFonts w:ascii="仿宋" w:hAnsi="仿宋" w:eastAsia="仿宋"/>
          <w:sz w:val="32"/>
          <w:szCs w:val="32"/>
        </w:rPr>
      </w:pPr>
      <w:r>
        <w:rPr>
          <w:rFonts w:hint="eastAsia" w:ascii="仿宋" w:hAnsi="仿宋" w:eastAsia="仿宋" w:cs="宋体"/>
          <w:sz w:val="32"/>
          <w:szCs w:val="32"/>
        </w:rPr>
        <w:t>本项目采购人将严格按照政府采购相关法律法规以及《四川省政府采购项目需求论证和履约验收管理办法》（川财采〔2015〕32号）的要求，组织相关专业人员对本项目进行验收。并坚持经常对保洁服务单位的工作进行检查督促，保证</w:t>
      </w:r>
      <w:r>
        <w:rPr>
          <w:rFonts w:hint="eastAsia" w:ascii="仿宋" w:hAnsi="仿宋" w:eastAsia="仿宋"/>
          <w:sz w:val="32"/>
          <w:szCs w:val="32"/>
        </w:rPr>
        <w:t>景区能够经常保持整洁、美观。</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ind w:firstLine="640" w:firstLineChars="200"/>
        <w:rPr>
          <w:rFonts w:ascii="仿宋" w:hAnsi="仿宋" w:eastAsia="仿宋"/>
          <w:sz w:val="32"/>
          <w:szCs w:val="32"/>
        </w:rPr>
      </w:pPr>
      <w:r>
        <w:rPr>
          <w:rFonts w:hint="eastAsia" w:ascii="仿宋" w:hAnsi="仿宋" w:eastAsia="仿宋"/>
          <w:sz w:val="32"/>
          <w:szCs w:val="32"/>
        </w:rPr>
        <w:t>我馆按照《政府采购法》及《四川省人民政府办公厅关于印发四川省2018－2019年政府集中采购目录及采购限额标准的通知》的有关规定，向市文化广播电视和旅游局、市财政局进行</w:t>
      </w:r>
      <w:r>
        <w:rPr>
          <w:rFonts w:hint="eastAsia" w:ascii="仿宋_GB2312" w:hAnsi="宋体" w:eastAsia="仿宋_GB2312"/>
          <w:sz w:val="32"/>
          <w:szCs w:val="32"/>
          <w:lang w:val="zh-CN"/>
        </w:rPr>
        <w:t>项目资金申报，批复同意。</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主要为财政补助收入。</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财政按每年申报进行批复计划。按实际门票收入缴款额度进行计划使用情况的批准。</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按实际发生的费用进行支付。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34"/>
        <w:ind w:firstLine="640"/>
        <w:rPr>
          <w:rFonts w:ascii="仿宋" w:hAnsi="仿宋" w:eastAsia="仿宋"/>
          <w:sz w:val="32"/>
          <w:szCs w:val="32"/>
        </w:rPr>
      </w:pPr>
      <w:r>
        <w:rPr>
          <w:rFonts w:hint="eastAsia" w:ascii="仿宋" w:hAnsi="仿宋" w:eastAsia="仿宋"/>
          <w:bCs/>
          <w:sz w:val="32"/>
          <w:szCs w:val="32"/>
        </w:rPr>
        <w:t>本项目由</w:t>
      </w:r>
      <w:r>
        <w:rPr>
          <w:rFonts w:hint="eastAsia" w:ascii="仿宋" w:hAnsi="仿宋" w:eastAsia="仿宋" w:cs="宋体"/>
          <w:sz w:val="30"/>
          <w:szCs w:val="30"/>
        </w:rPr>
        <w:t>采购人－</w:t>
      </w:r>
      <w:r>
        <w:rPr>
          <w:rFonts w:hint="eastAsia" w:ascii="仿宋" w:hAnsi="仿宋" w:eastAsia="仿宋"/>
          <w:bCs/>
          <w:sz w:val="32"/>
          <w:szCs w:val="32"/>
        </w:rPr>
        <w:t>广元市千佛崖石刻艺术博物馆负责组织实施及管理，</w:t>
      </w:r>
      <w:r>
        <w:rPr>
          <w:rFonts w:hint="eastAsia" w:ascii="仿宋" w:hAnsi="仿宋" w:eastAsia="仿宋" w:cs="宋体"/>
          <w:sz w:val="30"/>
          <w:szCs w:val="30"/>
        </w:rPr>
        <w:t>坚持经常对保洁服务单位的工作进行检查督促，保证</w:t>
      </w:r>
      <w:r>
        <w:rPr>
          <w:rFonts w:hint="eastAsia" w:ascii="仿宋" w:hAnsi="仿宋" w:eastAsia="仿宋"/>
          <w:sz w:val="32"/>
          <w:szCs w:val="32"/>
        </w:rPr>
        <w:t>景区能够经常保持整洁、美观。</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p>
    <w:p>
      <w:pPr>
        <w:pStyle w:val="5"/>
        <w:spacing w:before="93"/>
        <w:ind w:firstLine="755" w:firstLineChars="236"/>
        <w:rPr>
          <w:rFonts w:ascii="仿宋" w:hAnsi="仿宋" w:eastAsia="仿宋" w:cs="宋体"/>
          <w:sz w:val="32"/>
          <w:szCs w:val="32"/>
        </w:rPr>
      </w:pPr>
      <w:r>
        <w:rPr>
          <w:rFonts w:hint="eastAsia" w:ascii="仿宋" w:hAnsi="仿宋" w:eastAsia="仿宋" w:cs="宋体"/>
          <w:sz w:val="32"/>
          <w:szCs w:val="32"/>
        </w:rPr>
        <w:t>本项目采购人严格按照政府采购相关法律法规以及《四川省政府采购项目需求论证和履约验收管理办法》（川财采〔2015〕32号）的要求，对</w:t>
      </w:r>
      <w:r>
        <w:rPr>
          <w:rFonts w:hint="eastAsia" w:ascii="仿宋" w:hAnsi="仿宋" w:eastAsia="仿宋"/>
          <w:bCs/>
          <w:sz w:val="32"/>
          <w:szCs w:val="32"/>
        </w:rPr>
        <w:t>本项目进行管理，</w:t>
      </w:r>
      <w:r>
        <w:rPr>
          <w:rFonts w:hint="eastAsia" w:ascii="仿宋" w:hAnsi="仿宋" w:eastAsia="仿宋"/>
          <w:sz w:val="32"/>
          <w:szCs w:val="32"/>
          <w:lang w:val="zh-CN"/>
        </w:rPr>
        <w:t>项目实施单位能够认真执行相关法律法规及项目管理制度。</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p>
    <w:p>
      <w:pPr>
        <w:ind w:firstLine="720" w:firstLineChars="225"/>
        <w:rPr>
          <w:rFonts w:ascii="仿宋" w:hAnsi="仿宋" w:eastAsia="仿宋" w:cs="宋体"/>
          <w:sz w:val="32"/>
          <w:szCs w:val="32"/>
        </w:rPr>
      </w:pPr>
      <w:r>
        <w:rPr>
          <w:rFonts w:hint="eastAsia" w:ascii="仿宋" w:hAnsi="仿宋" w:eastAsia="仿宋" w:cs="宋体"/>
          <w:sz w:val="32"/>
          <w:szCs w:val="32"/>
        </w:rPr>
        <w:t>采购人根据服务要求的具体内容进行考核检查，对检查发现的问题，成交供应商应及时整改，造成不良影响的，采购人有权根据情节轻重每次给予50元至200元的经济处罚，处罚金额在服务总费用中扣减。一年中累计处罚五次以上，采购人有权解除与成交供应商签订的服务合同。</w:t>
      </w:r>
    </w:p>
    <w:p>
      <w:pPr>
        <w:ind w:firstLine="640" w:firstLineChars="200"/>
        <w:rPr>
          <w:rFonts w:ascii="仿宋" w:hAnsi="仿宋" w:eastAsia="仿宋" w:cs="宋体"/>
          <w:sz w:val="32"/>
          <w:szCs w:val="32"/>
        </w:rPr>
      </w:pPr>
      <w:r>
        <w:rPr>
          <w:rFonts w:hint="eastAsia" w:ascii="仿宋" w:hAnsi="仿宋" w:eastAsia="仿宋" w:cs="宋体"/>
          <w:sz w:val="32"/>
          <w:szCs w:val="32"/>
        </w:rPr>
        <w:t>在经常对保洁服务单位的工作进行检查督促中，使发现的问题及时得到了整改，没有造成不良影响，工作开展顺利，效果良好。</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suppressAutoHyphens/>
        <w:ind w:firstLine="640" w:firstLineChars="200"/>
        <w:rPr>
          <w:rFonts w:ascii="仿宋" w:hAnsi="仿宋" w:eastAsia="仿宋" w:cstheme="minorEastAsia"/>
          <w:sz w:val="32"/>
          <w:szCs w:val="32"/>
        </w:rPr>
      </w:pPr>
      <w:r>
        <w:rPr>
          <w:rFonts w:hint="eastAsia" w:ascii="仿宋" w:hAnsi="仿宋" w:eastAsia="仿宋" w:cs="宋体"/>
          <w:sz w:val="32"/>
          <w:szCs w:val="32"/>
        </w:rPr>
        <w:t>保洁服务单位</w:t>
      </w:r>
      <w:r>
        <w:rPr>
          <w:rFonts w:hint="eastAsia" w:ascii="仿宋" w:hAnsi="仿宋" w:eastAsia="仿宋"/>
          <w:sz w:val="32"/>
          <w:szCs w:val="32"/>
        </w:rPr>
        <w:t>认真做好了景区的日常性保洁和节假日期间的环境卫生整治工作，特别是新冠疫情发生后，在做好疫情防护工作的同时，对景区环境卫生进行了全面的打扫，重点对厕所、排水沟、化粪池等容易产生卫生死角的部位进行了重点整治。使景区能够经常保持整洁、美观。</w:t>
      </w:r>
      <w:r>
        <w:rPr>
          <w:rFonts w:hint="eastAsia" w:ascii="仿宋" w:hAnsi="仿宋" w:eastAsia="仿宋" w:cstheme="minorEastAsia"/>
          <w:sz w:val="32"/>
          <w:szCs w:val="32"/>
        </w:rPr>
        <w:t>为广大游客和周围群众创造了一个良好的游览环境和休闲场所，</w:t>
      </w:r>
      <w:r>
        <w:rPr>
          <w:rFonts w:hint="eastAsia" w:ascii="仿宋" w:hAnsi="仿宋" w:eastAsia="仿宋"/>
          <w:sz w:val="32"/>
          <w:szCs w:val="32"/>
        </w:rPr>
        <w:t>为文物的保护创造了一个良好的环境</w:t>
      </w:r>
      <w:r>
        <w:rPr>
          <w:rFonts w:hint="eastAsia" w:ascii="仿宋" w:hAnsi="仿宋" w:eastAsia="仿宋" w:cstheme="minorEastAsia"/>
          <w:sz w:val="32"/>
          <w:szCs w:val="32"/>
        </w:rPr>
        <w:t>，游客和周围群众对景区环境面貌满意度较高。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suppressAutoHyphens/>
        <w:ind w:firstLine="640" w:firstLineChars="200"/>
        <w:rPr>
          <w:rFonts w:ascii="仿宋" w:hAnsi="仿宋" w:eastAsia="仿宋" w:cstheme="minorEastAsia"/>
          <w:sz w:val="32"/>
          <w:szCs w:val="32"/>
        </w:rPr>
      </w:pPr>
      <w:r>
        <w:rPr>
          <w:rFonts w:hint="eastAsia" w:ascii="仿宋" w:hAnsi="仿宋" w:eastAsia="仿宋"/>
          <w:sz w:val="32"/>
          <w:szCs w:val="32"/>
        </w:rPr>
        <w:t>通过实施本项目，使景区能够经常保持整洁、美观。</w:t>
      </w:r>
      <w:r>
        <w:rPr>
          <w:rFonts w:hint="eastAsia" w:ascii="仿宋" w:hAnsi="仿宋" w:eastAsia="仿宋" w:cstheme="minorEastAsia"/>
          <w:sz w:val="32"/>
          <w:szCs w:val="32"/>
        </w:rPr>
        <w:t>为广大游客和周围群众创造了一个良好的游览环境和休闲场所，</w:t>
      </w:r>
      <w:r>
        <w:rPr>
          <w:rFonts w:hint="eastAsia" w:ascii="仿宋" w:hAnsi="仿宋" w:eastAsia="仿宋"/>
          <w:sz w:val="32"/>
          <w:szCs w:val="32"/>
        </w:rPr>
        <w:t>为文物的保护创造了一个良好的环境</w:t>
      </w:r>
      <w:r>
        <w:rPr>
          <w:rFonts w:hint="eastAsia" w:ascii="仿宋" w:hAnsi="仿宋" w:eastAsia="仿宋" w:cstheme="minorEastAsia"/>
          <w:sz w:val="32"/>
          <w:szCs w:val="32"/>
        </w:rPr>
        <w:t>，游客和周围群众对景区环境面貌的满意度不断提高，为景区的长远发展打下了一个良好的基础。</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suppressAutoHyphens/>
        <w:ind w:firstLine="640" w:firstLineChars="200"/>
        <w:rPr>
          <w:rFonts w:hint="eastAsia" w:ascii="仿宋" w:hAnsi="仿宋" w:eastAsia="仿宋"/>
          <w:sz w:val="32"/>
          <w:szCs w:val="32"/>
          <w:lang w:val="zh-CN"/>
        </w:rPr>
      </w:pPr>
      <w:r>
        <w:rPr>
          <w:rFonts w:hint="eastAsia" w:ascii="仿宋" w:hAnsi="仿宋" w:eastAsia="仿宋"/>
          <w:sz w:val="32"/>
          <w:szCs w:val="32"/>
          <w:lang w:val="zh-CN"/>
        </w:rPr>
        <w:t>本项目资金的支出，保证了</w:t>
      </w:r>
      <w:r>
        <w:rPr>
          <w:rFonts w:hint="eastAsia" w:ascii="仿宋" w:hAnsi="仿宋" w:eastAsia="仿宋"/>
          <w:sz w:val="32"/>
          <w:szCs w:val="32"/>
        </w:rPr>
        <w:t>项目的顺利实施，使景区能够经常保持整洁、美观。</w:t>
      </w:r>
      <w:r>
        <w:rPr>
          <w:rFonts w:hint="eastAsia" w:ascii="仿宋" w:hAnsi="仿宋" w:eastAsia="仿宋" w:cstheme="minorEastAsia"/>
          <w:sz w:val="32"/>
          <w:szCs w:val="32"/>
        </w:rPr>
        <w:t>为广大游客和周围群众创造了一个良好的游览环境和休闲场所，</w:t>
      </w:r>
      <w:r>
        <w:rPr>
          <w:rFonts w:hint="eastAsia" w:ascii="仿宋" w:hAnsi="仿宋" w:eastAsia="仿宋"/>
          <w:sz w:val="32"/>
          <w:szCs w:val="32"/>
        </w:rPr>
        <w:t>为文物的保护创造了一个良好的环境</w:t>
      </w:r>
      <w:r>
        <w:rPr>
          <w:rFonts w:hint="eastAsia" w:ascii="仿宋" w:hAnsi="仿宋" w:eastAsia="仿宋" w:cstheme="minorEastAsia"/>
          <w:sz w:val="32"/>
          <w:szCs w:val="32"/>
        </w:rPr>
        <w:t>，游客和周围群众对景区环境面貌的满意度不断提高，为景区的长远发展打下了一个良好的基础，使</w:t>
      </w:r>
      <w:r>
        <w:rPr>
          <w:rFonts w:hint="eastAsia" w:ascii="仿宋" w:hAnsi="仿宋" w:eastAsia="仿宋"/>
          <w:sz w:val="32"/>
          <w:szCs w:val="32"/>
          <w:lang w:val="zh-CN"/>
        </w:rPr>
        <w:t>项目资金发挥了较好的社会效益。</w:t>
      </w: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widowControl/>
        <w:suppressAutoHyphens/>
        <w:ind w:firstLine="640" w:firstLineChars="200"/>
        <w:rPr>
          <w:rFonts w:hint="eastAsia" w:ascii="仿宋" w:hAnsi="仿宋" w:eastAsia="仿宋"/>
          <w:sz w:val="32"/>
          <w:szCs w:val="32"/>
          <w:lang w:val="zh-CN"/>
        </w:rPr>
      </w:pPr>
    </w:p>
    <w:p>
      <w:pPr>
        <w:pStyle w:val="3"/>
        <w:rPr>
          <w:rFonts w:hint="eastAsia" w:ascii="仿宋" w:hAnsi="仿宋" w:eastAsia="仿宋"/>
          <w:sz w:val="32"/>
          <w:szCs w:val="32"/>
          <w:lang w:val="zh-CN"/>
        </w:rPr>
      </w:pPr>
      <w:bookmarkStart w:id="87" w:name="_Toc19667"/>
      <w:r>
        <w:rPr>
          <w:rFonts w:hint="eastAsia"/>
        </w:rPr>
        <w:t>附件</w:t>
      </w:r>
      <w:r>
        <w:rPr>
          <w:rFonts w:hint="eastAsia"/>
          <w:lang w:val="en-US" w:eastAsia="zh-CN"/>
        </w:rPr>
        <w:t>5</w:t>
      </w:r>
      <w:bookmarkEnd w:id="87"/>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宣传</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lang w:val="zh-CN"/>
        </w:rPr>
        <w:t>宣传项目为我单位长期项目之一。我单位除景区文物保护职能外，兼顾景区日常对外开放正常运营的职能，为保证景区正常对外开放、宣传景区，特设立宣传项目，资金来源于财政拨款。本项目申报主要依据为上</w:t>
      </w:r>
      <w:r>
        <w:rPr>
          <w:rFonts w:hint="eastAsia" w:ascii="仿宋_GB2312" w:hAnsi="宋体" w:eastAsia="仿宋_GB2312"/>
          <w:sz w:val="32"/>
          <w:szCs w:val="32"/>
        </w:rPr>
        <w:t>3年宣传经费平均数进行预算申报。</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．项目主要主要用于景区宣传方面的支出，例如：聘用讲解员的工资、保险；景区日常宣传页印刷、智慧景区建设等等。</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．项目实现的具体绩效目标主要为压缩聘用人员工资支出，增强景区宣传效果等方面。</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项目绩效自评一方面核算当年支出宣传经费总额与预算的对比数；另一方面总结宣传后当年收入增长的对应关系。</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项目为长期项目，上一年度向财政申报下一年度用款计划及数额。</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sz w:val="32"/>
          <w:szCs w:val="32"/>
          <w:lang w:val="zh-CN"/>
        </w:rPr>
        <w:t>主要为财政补助收入。</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财政按每年申报进行批复计划。按实际门票收入缴款额度进行计划使用情况的批准。</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按实际发生的费用进行支付。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项目实施单位财务管理制度健全，严格执行财务管理制度，账务处理及时，会计核算规范。</w:t>
      </w:r>
    </w:p>
    <w:p>
      <w:pPr>
        <w:numPr>
          <w:ilvl w:val="0"/>
          <w:numId w:val="9"/>
        </w:num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项目实施及管理情况</w:t>
      </w:r>
      <w:r>
        <w:rPr>
          <w:rFonts w:hint="eastAsia" w:ascii="仿宋_GB2312" w:hAnsi="宋体" w:eastAsia="仿宋_GB2312"/>
          <w:sz w:val="32"/>
          <w:szCs w:val="32"/>
          <w:lang w:val="zh-CN"/>
        </w:rPr>
        <w:t>。</w:t>
      </w:r>
    </w:p>
    <w:p>
      <w:pPr>
        <w:adjustRightInd w:val="0"/>
        <w:snapToGrid w:val="0"/>
        <w:spacing w:line="600" w:lineRule="exact"/>
        <w:rPr>
          <w:rFonts w:ascii="仿宋_GB2312" w:hAnsi="宋体" w:eastAsia="仿宋_GB2312"/>
          <w:sz w:val="32"/>
          <w:szCs w:val="32"/>
        </w:rPr>
      </w:pPr>
      <w:r>
        <w:rPr>
          <w:rFonts w:hint="eastAsia" w:ascii="仿宋_GB2312" w:hAnsi="宋体" w:eastAsia="仿宋_GB2312"/>
          <w:sz w:val="32"/>
          <w:szCs w:val="32"/>
        </w:rPr>
        <w:t xml:space="preserve">    项目实施按实际发生进行核算。管理方面按事业单位一般资金使用进行监管。</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cs="仿宋"/>
          <w:bCs/>
          <w:sz w:val="32"/>
          <w:szCs w:val="32"/>
          <w:lang w:val="zh-CN"/>
        </w:rPr>
        <w:t>该项目完成全年聘用人员工资、保险发放；当年收入因疫情影响大幅度下降，针对安全方面游客满意度达</w:t>
      </w:r>
      <w:r>
        <w:rPr>
          <w:rFonts w:hint="eastAsia" w:ascii="仿宋" w:hAnsi="仿宋" w:eastAsia="仿宋" w:cs="仿宋"/>
          <w:bCs/>
          <w:sz w:val="32"/>
          <w:szCs w:val="32"/>
        </w:rPr>
        <w:t>90%以上。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该项目为日常项目，并无其他例外，保证景区正常运转，员工工资发放到位、保险缴纳及时即可。</w:t>
      </w:r>
    </w:p>
    <w:p>
      <w:pPr>
        <w:widowControl/>
        <w:jc w:val="left"/>
        <w:rPr>
          <w:rStyle w:val="16"/>
          <w:rFonts w:ascii="黑体" w:hAnsi="黑体" w:eastAsia="黑体"/>
          <w:b w:val="0"/>
        </w:rPr>
      </w:pPr>
    </w:p>
    <w:p>
      <w:pPr>
        <w:widowControl/>
        <w:jc w:val="left"/>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rPr>
          <w:rStyle w:val="16"/>
          <w:rFonts w:ascii="黑体" w:hAnsi="黑体" w:eastAsia="黑体"/>
          <w:b w:val="0"/>
        </w:rPr>
      </w:pPr>
    </w:p>
    <w:p>
      <w:pPr>
        <w:spacing w:line="600" w:lineRule="exact"/>
        <w:jc w:val="center"/>
        <w:outlineLvl w:val="0"/>
        <w:rPr>
          <w:rStyle w:val="16"/>
          <w:rFonts w:ascii="黑体" w:hAnsi="黑体" w:eastAsia="黑体"/>
          <w:b w:val="0"/>
        </w:rPr>
      </w:pPr>
      <w:bookmarkStart w:id="88" w:name="_Toc27"/>
      <w:bookmarkStart w:id="89"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80"/>
      <w:bookmarkEnd w:id="88"/>
      <w:bookmarkEnd w:id="89"/>
    </w:p>
    <w:p>
      <w:pPr>
        <w:spacing w:line="600" w:lineRule="exact"/>
        <w:jc w:val="center"/>
        <w:rPr>
          <w:rFonts w:ascii="仿宋" w:hAnsi="仿宋" w:eastAsia="仿宋"/>
          <w:b/>
          <w:color w:val="000000"/>
          <w:sz w:val="44"/>
          <w:szCs w:val="44"/>
        </w:rPr>
      </w:pPr>
    </w:p>
    <w:p>
      <w:pPr>
        <w:pStyle w:val="3"/>
        <w:rPr>
          <w:rFonts w:ascii="仿宋" w:hAnsi="仿宋" w:eastAsia="仿宋"/>
          <w:color w:val="000000"/>
        </w:rPr>
      </w:pPr>
      <w:bookmarkStart w:id="90" w:name="_Toc15396619"/>
      <w:bookmarkStart w:id="91" w:name="_Toc20348"/>
      <w:r>
        <w:rPr>
          <w:rFonts w:hint="eastAsia" w:ascii="仿宋" w:hAnsi="仿宋" w:eastAsia="仿宋"/>
          <w:b w:val="0"/>
          <w:color w:val="000000"/>
        </w:rPr>
        <w:t>一、收</w:t>
      </w:r>
      <w:r>
        <w:rPr>
          <w:rStyle w:val="17"/>
          <w:rFonts w:hint="eastAsia" w:ascii="仿宋" w:hAnsi="仿宋" w:eastAsia="仿宋"/>
          <w:b w:val="0"/>
          <w:bCs w:val="0"/>
        </w:rPr>
        <w:t>入支出决算总表</w:t>
      </w:r>
      <w:bookmarkEnd w:id="90"/>
      <w:bookmarkEnd w:id="91"/>
    </w:p>
    <w:p>
      <w:pPr>
        <w:pStyle w:val="3"/>
        <w:rPr>
          <w:rFonts w:ascii="仿宋" w:hAnsi="仿宋" w:eastAsia="仿宋"/>
          <w:color w:val="000000"/>
        </w:rPr>
      </w:pPr>
      <w:bookmarkStart w:id="92" w:name="_Toc32222"/>
      <w:bookmarkStart w:id="93" w:name="_Toc15396620"/>
      <w:r>
        <w:rPr>
          <w:rFonts w:hint="eastAsia" w:ascii="仿宋" w:hAnsi="仿宋" w:eastAsia="仿宋"/>
          <w:b w:val="0"/>
          <w:color w:val="000000"/>
        </w:rPr>
        <w:t>二、收</w:t>
      </w:r>
      <w:r>
        <w:rPr>
          <w:rStyle w:val="17"/>
          <w:rFonts w:hint="eastAsia" w:ascii="仿宋" w:hAnsi="仿宋" w:eastAsia="仿宋"/>
          <w:b w:val="0"/>
          <w:bCs w:val="0"/>
        </w:rPr>
        <w:t>入决算表</w:t>
      </w:r>
      <w:bookmarkEnd w:id="92"/>
      <w:bookmarkEnd w:id="93"/>
    </w:p>
    <w:p>
      <w:pPr>
        <w:pStyle w:val="3"/>
        <w:rPr>
          <w:rFonts w:ascii="仿宋" w:hAnsi="仿宋" w:eastAsia="仿宋"/>
          <w:color w:val="000000"/>
        </w:rPr>
      </w:pPr>
      <w:bookmarkStart w:id="94" w:name="_Toc15396621"/>
      <w:bookmarkStart w:id="95" w:name="_Toc21652"/>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出决算表</w:t>
      </w:r>
      <w:bookmarkEnd w:id="94"/>
      <w:bookmarkEnd w:id="95"/>
    </w:p>
    <w:p>
      <w:pPr>
        <w:pStyle w:val="3"/>
        <w:rPr>
          <w:rFonts w:ascii="仿宋" w:hAnsi="仿宋" w:eastAsia="仿宋"/>
          <w:b w:val="0"/>
          <w:color w:val="000000"/>
        </w:rPr>
      </w:pPr>
      <w:bookmarkStart w:id="96" w:name="_Toc15396622"/>
      <w:bookmarkStart w:id="97" w:name="_Toc17554"/>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96"/>
      <w:bookmarkEnd w:id="97"/>
    </w:p>
    <w:p>
      <w:pPr>
        <w:pStyle w:val="3"/>
        <w:rPr>
          <w:rStyle w:val="17"/>
          <w:rFonts w:ascii="仿宋" w:hAnsi="仿宋" w:eastAsia="仿宋"/>
          <w:b w:val="0"/>
          <w:bCs w:val="0"/>
        </w:rPr>
      </w:pPr>
      <w:bookmarkStart w:id="98" w:name="_Toc15396623"/>
      <w:bookmarkStart w:id="99" w:name="_Toc2857"/>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w:t>
      </w:r>
      <w:bookmarkEnd w:id="98"/>
      <w:bookmarkEnd w:id="99"/>
      <w:bookmarkStart w:id="100" w:name="_Toc15396624"/>
    </w:p>
    <w:p>
      <w:pPr>
        <w:pStyle w:val="3"/>
        <w:rPr>
          <w:rFonts w:ascii="仿宋" w:hAnsi="仿宋" w:eastAsia="仿宋"/>
          <w:color w:val="000000"/>
        </w:rPr>
      </w:pPr>
      <w:bookmarkStart w:id="101" w:name="_Toc23266"/>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100"/>
      <w:bookmarkEnd w:id="101"/>
    </w:p>
    <w:p>
      <w:pPr>
        <w:pStyle w:val="3"/>
        <w:rPr>
          <w:rFonts w:ascii="仿宋" w:hAnsi="仿宋" w:eastAsia="仿宋"/>
          <w:color w:val="000000"/>
        </w:rPr>
      </w:pPr>
      <w:bookmarkStart w:id="102" w:name="_Toc2985"/>
      <w:bookmarkStart w:id="103"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102"/>
      <w:bookmarkEnd w:id="103"/>
    </w:p>
    <w:p>
      <w:pPr>
        <w:pStyle w:val="3"/>
        <w:rPr>
          <w:rFonts w:ascii="仿宋" w:hAnsi="仿宋" w:eastAsia="仿宋"/>
          <w:color w:val="000000"/>
        </w:rPr>
      </w:pPr>
      <w:bookmarkStart w:id="104" w:name="_Toc14899"/>
      <w:bookmarkStart w:id="105"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104"/>
      <w:bookmarkEnd w:id="105"/>
    </w:p>
    <w:p>
      <w:pPr>
        <w:pStyle w:val="3"/>
        <w:rPr>
          <w:rFonts w:ascii="仿宋" w:hAnsi="仿宋" w:eastAsia="仿宋"/>
          <w:color w:val="000000"/>
        </w:rPr>
      </w:pPr>
      <w:bookmarkStart w:id="106" w:name="_Toc18920"/>
      <w:bookmarkStart w:id="107"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106"/>
      <w:bookmarkEnd w:id="107"/>
    </w:p>
    <w:p>
      <w:pPr>
        <w:pStyle w:val="3"/>
        <w:rPr>
          <w:rFonts w:ascii="仿宋" w:hAnsi="仿宋" w:eastAsia="仿宋"/>
          <w:color w:val="000000"/>
        </w:rPr>
      </w:pPr>
      <w:bookmarkStart w:id="108" w:name="_Toc28414"/>
      <w:bookmarkStart w:id="109"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108"/>
      <w:bookmarkEnd w:id="109"/>
    </w:p>
    <w:p>
      <w:pPr>
        <w:pStyle w:val="3"/>
        <w:rPr>
          <w:rFonts w:ascii="仿宋" w:hAnsi="仿宋" w:eastAsia="仿宋"/>
          <w:color w:val="000000"/>
        </w:rPr>
      </w:pPr>
      <w:bookmarkStart w:id="110" w:name="_Toc15396629"/>
      <w:bookmarkStart w:id="111" w:name="_Toc20622"/>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110"/>
      <w:bookmarkEnd w:id="111"/>
    </w:p>
    <w:p>
      <w:pPr>
        <w:pStyle w:val="3"/>
        <w:rPr>
          <w:rFonts w:ascii="仿宋" w:hAnsi="仿宋" w:eastAsia="仿宋"/>
          <w:color w:val="000000"/>
        </w:rPr>
      </w:pPr>
      <w:bookmarkStart w:id="112" w:name="_Toc15396630"/>
      <w:bookmarkStart w:id="113" w:name="_Toc4374"/>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112"/>
      <w:bookmarkEnd w:id="113"/>
    </w:p>
    <w:p>
      <w:pPr>
        <w:pStyle w:val="3"/>
        <w:rPr>
          <w:rFonts w:ascii="仿宋" w:hAnsi="仿宋" w:eastAsia="仿宋"/>
          <w:color w:val="000000"/>
        </w:rPr>
      </w:pPr>
      <w:bookmarkStart w:id="114" w:name="_Toc22723"/>
      <w:bookmarkStart w:id="115"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有资本经营预算财政拨款支出决算表</w:t>
      </w:r>
      <w:bookmarkEnd w:id="114"/>
      <w:bookmarkEnd w:id="11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altName w:val="方正小标宋_GBK"/>
    <w:panose1 w:val="00000000000000000000"/>
    <w:charset w:val="86"/>
    <w:family w:val="script"/>
    <w:pitch w:val="default"/>
    <w:sig w:usb0="00000000" w:usb1="00000000" w:usb2="00000010" w:usb3="00000000" w:csb0="00040000" w:csb1="00000000"/>
  </w:font>
  <w:font w:name="微软雅黑">
    <w:altName w:val="方正黑体_GBK"/>
    <w:panose1 w:val="020B0503020204020204"/>
    <w:charset w:val="86"/>
    <w:family w:val="auto"/>
    <w:pitch w:val="default"/>
    <w:sig w:usb0="00000000" w:usb1="00000000" w:usb2="00000000" w:usb3="00000000" w:csb0="00000000" w:csb1="00000000"/>
  </w:font>
  <w:font w:name="Arial">
    <w:altName w:val="DejaVu Sans"/>
    <w:panose1 w:val="020B0604020202020204"/>
    <w:charset w:val="00"/>
    <w:family w:val=""/>
    <w:pitch w:val="default"/>
    <w:sig w:usb0="00000000" w:usb1="00000000" w:usb2="00000000" w:usb3="00000000" w:csb0="00000000" w:csb1="00000000"/>
  </w:font>
  <w:font w:name="汉仪旗黑-55简">
    <w:altName w:val="方正黑体_GBK"/>
    <w:panose1 w:val="00020600040101010101"/>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Proxy 2">
    <w:altName w:val="DejaVu Math TeX Gyre"/>
    <w:panose1 w:val="00000000000000000000"/>
    <w:charset w:val="00"/>
    <w:family w:val="auto"/>
    <w:pitch w:val="default"/>
    <w:sig w:usb0="00000000" w:usb1="00000000" w:usb2="00000000" w:usb3="00000000" w:csb0="000001FF"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771FB"/>
    <w:multiLevelType w:val="singleLevel"/>
    <w:tmpl w:val="B88771FB"/>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77C3B83"/>
    <w:multiLevelType w:val="singleLevel"/>
    <w:tmpl w:val="E77C3B83"/>
    <w:lvl w:ilvl="0" w:tentative="0">
      <w:start w:val="3"/>
      <w:numFmt w:val="chineseCounting"/>
      <w:suff w:val="nothing"/>
      <w:lvlText w:val="%1、"/>
      <w:lvlJc w:val="left"/>
      <w:rPr>
        <w:rFonts w:hint="eastAsia"/>
      </w:rPr>
    </w:lvl>
  </w:abstractNum>
  <w:abstractNum w:abstractNumId="4">
    <w:nsid w:val="EF19C053"/>
    <w:multiLevelType w:val="singleLevel"/>
    <w:tmpl w:val="EF19C053"/>
    <w:lvl w:ilvl="0" w:tentative="0">
      <w:start w:val="1"/>
      <w:numFmt w:val="decimal"/>
      <w:lvlText w:val="%1."/>
      <w:lvlJc w:val="left"/>
      <w:pPr>
        <w:tabs>
          <w:tab w:val="left" w:pos="312"/>
        </w:tabs>
        <w:ind w:left="-13"/>
      </w:pPr>
      <w:rPr>
        <w:rFonts w:hint="default"/>
        <w:b/>
        <w:bCs/>
      </w:rPr>
    </w:lvl>
  </w:abstractNum>
  <w:abstractNum w:abstractNumId="5">
    <w:nsid w:val="0012177B"/>
    <w:multiLevelType w:val="singleLevel"/>
    <w:tmpl w:val="0012177B"/>
    <w:lvl w:ilvl="0" w:tentative="0">
      <w:start w:val="1"/>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7">
    <w:nsid w:val="42361B8D"/>
    <w:multiLevelType w:val="singleLevel"/>
    <w:tmpl w:val="42361B8D"/>
    <w:lvl w:ilvl="0" w:tentative="0">
      <w:start w:val="2"/>
      <w:numFmt w:val="chineseCounting"/>
      <w:suff w:val="nothing"/>
      <w:lvlText w:val="（%1）"/>
      <w:lvlJc w:val="left"/>
      <w:pPr>
        <w:ind w:left="-10"/>
      </w:pPr>
      <w:rPr>
        <w:rFonts w:hint="eastAsia"/>
      </w:rPr>
    </w:lvl>
  </w:abstractNum>
  <w:abstractNum w:abstractNumId="8">
    <w:nsid w:val="7F704EC2"/>
    <w:multiLevelType w:val="singleLevel"/>
    <w:tmpl w:val="7F704EC2"/>
    <w:lvl w:ilvl="0" w:tentative="0">
      <w:start w:val="2"/>
      <w:numFmt w:val="decimal"/>
      <w:suff w:val="nothing"/>
      <w:lvlText w:val="（%1）"/>
      <w:lvlJc w:val="left"/>
    </w:lvl>
  </w:abstractNum>
  <w:num w:numId="1">
    <w:abstractNumId w:val="6"/>
  </w:num>
  <w:num w:numId="2">
    <w:abstractNumId w:val="4"/>
  </w:num>
  <w:num w:numId="3">
    <w:abstractNumId w:val="5"/>
  </w:num>
  <w:num w:numId="4">
    <w:abstractNumId w:val="1"/>
  </w:num>
  <w:num w:numId="5">
    <w:abstractNumId w:val="8"/>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2650"/>
    <w:rsid w:val="0002549F"/>
    <w:rsid w:val="000468DB"/>
    <w:rsid w:val="0006487A"/>
    <w:rsid w:val="00065D93"/>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0047"/>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86862"/>
    <w:rsid w:val="003A484F"/>
    <w:rsid w:val="003A4883"/>
    <w:rsid w:val="003B0BE0"/>
    <w:rsid w:val="003B0C1B"/>
    <w:rsid w:val="003B688C"/>
    <w:rsid w:val="003B7801"/>
    <w:rsid w:val="003C0291"/>
    <w:rsid w:val="003C39AE"/>
    <w:rsid w:val="003C7B60"/>
    <w:rsid w:val="003D0C0F"/>
    <w:rsid w:val="003D1FB2"/>
    <w:rsid w:val="003D66DA"/>
    <w:rsid w:val="003D6C33"/>
    <w:rsid w:val="003E1310"/>
    <w:rsid w:val="003E6F55"/>
    <w:rsid w:val="00406254"/>
    <w:rsid w:val="004223DE"/>
    <w:rsid w:val="00434489"/>
    <w:rsid w:val="00437085"/>
    <w:rsid w:val="00443880"/>
    <w:rsid w:val="004464F4"/>
    <w:rsid w:val="00471401"/>
    <w:rsid w:val="00473F31"/>
    <w:rsid w:val="0048263A"/>
    <w:rsid w:val="00487E5D"/>
    <w:rsid w:val="004A711F"/>
    <w:rsid w:val="004B14D5"/>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B5F"/>
    <w:rsid w:val="005D5CED"/>
    <w:rsid w:val="005F1A4C"/>
    <w:rsid w:val="00605688"/>
    <w:rsid w:val="006070AF"/>
    <w:rsid w:val="00607E6C"/>
    <w:rsid w:val="006101B1"/>
    <w:rsid w:val="00611E10"/>
    <w:rsid w:val="00614E44"/>
    <w:rsid w:val="0062270A"/>
    <w:rsid w:val="00622830"/>
    <w:rsid w:val="00623DA0"/>
    <w:rsid w:val="00630AEF"/>
    <w:rsid w:val="00631536"/>
    <w:rsid w:val="006325F8"/>
    <w:rsid w:val="00633463"/>
    <w:rsid w:val="00634C9A"/>
    <w:rsid w:val="006440E4"/>
    <w:rsid w:val="0066343B"/>
    <w:rsid w:val="00664777"/>
    <w:rsid w:val="006748A4"/>
    <w:rsid w:val="00681A31"/>
    <w:rsid w:val="00683E73"/>
    <w:rsid w:val="006855EC"/>
    <w:rsid w:val="006A3141"/>
    <w:rsid w:val="006A5E34"/>
    <w:rsid w:val="006B2422"/>
    <w:rsid w:val="006B2B9A"/>
    <w:rsid w:val="006C1937"/>
    <w:rsid w:val="006C63CA"/>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2DE0"/>
    <w:rsid w:val="007F55FC"/>
    <w:rsid w:val="007F5665"/>
    <w:rsid w:val="00800112"/>
    <w:rsid w:val="00813348"/>
    <w:rsid w:val="008253BB"/>
    <w:rsid w:val="008360A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12D7"/>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1FC9"/>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494D"/>
    <w:rsid w:val="00B77EA6"/>
    <w:rsid w:val="00B81598"/>
    <w:rsid w:val="00B841F1"/>
    <w:rsid w:val="00B90E4E"/>
    <w:rsid w:val="00B944D6"/>
    <w:rsid w:val="00B965DC"/>
    <w:rsid w:val="00BA5AAB"/>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7B4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87690"/>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59B4"/>
    <w:rsid w:val="00EF4C34"/>
    <w:rsid w:val="00EF4DDA"/>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CD42CA"/>
    <w:rsid w:val="091829F6"/>
    <w:rsid w:val="0A2032A3"/>
    <w:rsid w:val="0F4F0E3C"/>
    <w:rsid w:val="10C055FF"/>
    <w:rsid w:val="118107EC"/>
    <w:rsid w:val="16BB723D"/>
    <w:rsid w:val="177F2FD0"/>
    <w:rsid w:val="19787FD3"/>
    <w:rsid w:val="1D155CEE"/>
    <w:rsid w:val="240371BF"/>
    <w:rsid w:val="29C93C93"/>
    <w:rsid w:val="29FD04D3"/>
    <w:rsid w:val="2C3464BE"/>
    <w:rsid w:val="2D1F49FD"/>
    <w:rsid w:val="319F7F4E"/>
    <w:rsid w:val="4ECE2238"/>
    <w:rsid w:val="5B6D2944"/>
    <w:rsid w:val="5F023A04"/>
    <w:rsid w:val="64D67DD2"/>
    <w:rsid w:val="6C4A05C8"/>
    <w:rsid w:val="6FEF1A7E"/>
    <w:rsid w:val="715B11B8"/>
    <w:rsid w:val="72734D90"/>
    <w:rsid w:val="798A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nhideWhenUsed/>
    <w:qFormat/>
    <w:uiPriority w:val="99"/>
    <w:rPr>
      <w:rFonts w:cs="Times New Roman"/>
      <w:color w:val="0000FF"/>
      <w:u w:val="single"/>
    </w:rPr>
  </w:style>
  <w:style w:type="character" w:customStyle="1" w:styleId="16">
    <w:name w:val="标题 1 字符"/>
    <w:basedOn w:val="13"/>
    <w:link w:val="2"/>
    <w:qFormat/>
    <w:locked/>
    <w:uiPriority w:val="9"/>
    <w:rPr>
      <w:rFonts w:ascii="Times New Roman" w:hAnsi="Times New Roman" w:cs="Times New Roman"/>
      <w:b/>
      <w:bCs/>
      <w:kern w:val="44"/>
      <w:sz w:val="44"/>
      <w:szCs w:val="44"/>
    </w:rPr>
  </w:style>
  <w:style w:type="character" w:customStyle="1" w:styleId="17">
    <w:name w:val="标题 2 字符"/>
    <w:basedOn w:val="13"/>
    <w:link w:val="3"/>
    <w:qFormat/>
    <w:locked/>
    <w:uiPriority w:val="9"/>
    <w:rPr>
      <w:rFonts w:ascii="Cambria" w:hAnsi="Cambria" w:eastAsia="宋体" w:cs="Times New Roman"/>
      <w:b/>
      <w:bCs/>
      <w:kern w:val="2"/>
      <w:sz w:val="32"/>
      <w:szCs w:val="32"/>
    </w:rPr>
  </w:style>
  <w:style w:type="character" w:customStyle="1" w:styleId="18">
    <w:name w:val="标题 3 字符"/>
    <w:basedOn w:val="13"/>
    <w:link w:val="4"/>
    <w:qFormat/>
    <w:locked/>
    <w:uiPriority w:val="9"/>
    <w:rPr>
      <w:rFonts w:ascii="Times New Roman" w:hAnsi="Times New Roman" w:cs="Times New Roman"/>
      <w:b/>
      <w:bCs/>
      <w:kern w:val="2"/>
      <w:sz w:val="32"/>
      <w:szCs w:val="32"/>
    </w:rPr>
  </w:style>
  <w:style w:type="character" w:customStyle="1" w:styleId="19">
    <w:name w:val="Body Text Char"/>
    <w:basedOn w:val="13"/>
    <w:semiHidden/>
    <w:qFormat/>
    <w:uiPriority w:val="99"/>
    <w:rPr>
      <w:rFonts w:ascii="Times New Roman" w:hAnsi="Times New Roman" w:cs="Times New Roman"/>
      <w:sz w:val="24"/>
      <w:szCs w:val="24"/>
    </w:rPr>
  </w:style>
  <w:style w:type="character" w:customStyle="1" w:styleId="20">
    <w:name w:val="批注框文本 字符"/>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semiHidden/>
    <w:qFormat/>
    <w:uiPriority w:val="99"/>
    <w:rPr>
      <w:rFonts w:ascii="Times New Roman" w:hAnsi="Times New Roman" w:cs="Times New Roman"/>
      <w:sz w:val="18"/>
      <w:szCs w:val="18"/>
    </w:rPr>
  </w:style>
  <w:style w:type="character" w:customStyle="1" w:styleId="22">
    <w:name w:val="Header Char"/>
    <w:basedOn w:val="13"/>
    <w:semiHidden/>
    <w:qFormat/>
    <w:uiPriority w:val="99"/>
    <w:rPr>
      <w:rFonts w:ascii="Times New Roman" w:hAnsi="Times New Roman" w:cs="Times New Roman"/>
      <w:sz w:val="18"/>
      <w:szCs w:val="18"/>
    </w:rPr>
  </w:style>
  <w:style w:type="character" w:customStyle="1" w:styleId="23">
    <w:name w:val="页眉 字符"/>
    <w:link w:val="9"/>
    <w:semiHidden/>
    <w:qFormat/>
    <w:locked/>
    <w:uiPriority w:val="99"/>
    <w:rPr>
      <w:sz w:val="18"/>
    </w:rPr>
  </w:style>
  <w:style w:type="character" w:customStyle="1" w:styleId="24">
    <w:name w:val="页脚 字符"/>
    <w:link w:val="8"/>
    <w:qFormat/>
    <w:locked/>
    <w:uiPriority w:val="99"/>
    <w:rPr>
      <w:sz w:val="18"/>
    </w:rPr>
  </w:style>
  <w:style w:type="character" w:customStyle="1" w:styleId="25">
    <w:name w:val="正文文本 字符"/>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7">
    <w:name w:val="列表段落1"/>
    <w:basedOn w:val="1"/>
    <w:qFormat/>
    <w:uiPriority w:val="34"/>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0">
    <w:name w:val="font11"/>
    <w:basedOn w:val="13"/>
    <w:qFormat/>
    <w:uiPriority w:val="0"/>
    <w:rPr>
      <w:rFonts w:hint="eastAsia" w:ascii="宋体" w:hAnsi="宋体" w:eastAsia="宋体" w:cs="宋体"/>
      <w:color w:val="000000"/>
      <w:sz w:val="24"/>
      <w:szCs w:val="24"/>
      <w:u w:val="none"/>
    </w:rPr>
  </w:style>
  <w:style w:type="paragraph" w:customStyle="1" w:styleId="31">
    <w:name w:val="WPSOffice手动目录 1"/>
    <w:qFormat/>
    <w:uiPriority w:val="0"/>
    <w:rPr>
      <w:rFonts w:ascii="Times New Roman" w:hAnsi="Times New Roman" w:eastAsia="宋体" w:cs="Times New Roman"/>
      <w:lang w:val="en-US" w:eastAsia="zh-CN" w:bidi="ar-SA"/>
    </w:rPr>
  </w:style>
  <w:style w:type="paragraph" w:customStyle="1" w:styleId="3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3">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5" Type="http://schemas.microsoft.com/office/2011/relationships/chartColorStyle" Target="colors4.xml"/><Relationship Id="rId4" Type="http://schemas.microsoft.com/office/2011/relationships/chartStyle" Target="style4.xml"/><Relationship Id="rId3" Type="http://schemas.openxmlformats.org/officeDocument/2006/relationships/image" Target="../media/image1.png"/><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4" Type="http://schemas.microsoft.com/office/2011/relationships/chartColorStyle" Target="colors7.xml"/><Relationship Id="rId3" Type="http://schemas.microsoft.com/office/2011/relationships/chartStyle" Target="style7.xml"/><Relationship Id="rId2" Type="http://schemas.openxmlformats.org/officeDocument/2006/relationships/themeOverride" Target="../theme/themeOverride5.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4" Type="http://schemas.microsoft.com/office/2011/relationships/chartColorStyle" Target="colors5.xml"/><Relationship Id="rId3" Type="http://schemas.microsoft.com/office/2011/relationships/chartStyle" Target="style5.xml"/><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a:p>
        </c:rich>
      </c:tx>
      <c:layout>
        <c:manualLayout>
          <c:xMode val="edge"/>
          <c:yMode val="edge"/>
          <c:x val="0.256125"/>
          <c:y val="0.053991216739860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Sheet1!$A$2:$A$2</c:f>
              <c:strCache>
                <c:ptCount val="1"/>
                <c:pt idx="0">
                  <c:v>收入、支出</c:v>
                </c:pt>
              </c:strCache>
            </c:strRef>
          </c:cat>
          <c:val>
            <c:numRef>
              <c:f>Sheet1!$B$2:$B$2</c:f>
              <c:numCache>
                <c:formatCode>General</c:formatCode>
                <c:ptCount val="1"/>
                <c:pt idx="0">
                  <c:v>3533.03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Sheet1!$A$2:$A$2</c:f>
              <c:strCache>
                <c:ptCount val="1"/>
                <c:pt idx="0">
                  <c:v>收入、支出</c:v>
                </c:pt>
              </c:strCache>
            </c:strRef>
          </c:cat>
          <c:val>
            <c:numRef>
              <c:f>Sheet1!$C$2:$C$2</c:f>
              <c:numCache>
                <c:formatCode>General</c:formatCode>
                <c:ptCount val="1"/>
                <c:pt idx="0">
                  <c:v>2259.63</c:v>
                </c:pt>
              </c:numCache>
            </c:numRef>
          </c:val>
        </c:ser>
        <c:dLbls>
          <c:showLegendKey val="0"/>
          <c:showVal val="0"/>
          <c:showCatName val="0"/>
          <c:showSerName val="0"/>
          <c:showPercent val="0"/>
          <c:showBubbleSize val="0"/>
        </c:dLbls>
        <c:gapWidth val="219"/>
        <c:overlap val="-27"/>
        <c:axId val="925059387"/>
        <c:axId val="372939420"/>
      </c:barChart>
      <c:catAx>
        <c:axId val="925059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939420"/>
        <c:crosses val="autoZero"/>
        <c:auto val="1"/>
        <c:lblAlgn val="ctr"/>
        <c:lblOffset val="100"/>
        <c:noMultiLvlLbl val="0"/>
      </c:catAx>
      <c:valAx>
        <c:axId val="3729394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59387"/>
        <c:crosses val="autoZero"/>
        <c:crossBetween val="between"/>
      </c:valAx>
      <c:spPr>
        <a:noFill/>
        <a:ln>
          <a:noFill/>
        </a:ln>
        <a:effectLst/>
      </c:spPr>
    </c:plotArea>
    <c:legend>
      <c:legendPos val="b"/>
      <c:layout>
        <c:manualLayout>
          <c:xMode val="edge"/>
          <c:yMode val="edge"/>
          <c:x val="0.399375"/>
          <c:y val="0.9057091190906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收入决算结构图</a:t>
            </a:r>
            <a:endParaRPr lang="zh-CN" altLang="en-US"/>
          </a:p>
        </c:rich>
      </c:tx>
      <c:layout>
        <c:manualLayout>
          <c:xMode val="edge"/>
          <c:yMode val="edge"/>
          <c:x val="0.423"/>
          <c:y val="0.0175"/>
        </c:manualLayout>
      </c:layout>
      <c:overlay val="0"/>
      <c:spPr>
        <a:noFill/>
        <a:ln>
          <a:noFill/>
        </a:ln>
        <a:effectLst/>
      </c:spPr>
    </c:title>
    <c:autoTitleDeleted val="0"/>
    <c:plotArea>
      <c:layout>
        <c:manualLayout>
          <c:layoutTarget val="inner"/>
          <c:xMode val="edge"/>
          <c:yMode val="edge"/>
          <c:x val="0.283959215681505"/>
          <c:y val="0.20582605641502"/>
          <c:w val="0.483800668313235"/>
          <c:h val="0.716283071628307"/>
        </c:manualLayout>
      </c:layout>
      <c:pieChart>
        <c:varyColors val="1"/>
        <c:ser>
          <c:idx val="0"/>
          <c:order val="0"/>
          <c:tx>
            <c:strRef>
              <c:f>Sheet1!$B$1</c:f>
              <c:strCache>
                <c:ptCount val="1"/>
                <c:pt idx="0">
                  <c:v>收入</c:v>
                </c:pt>
              </c:strCache>
            </c:strRef>
          </c:tx>
          <c:spPr>
            <a:gradFill>
              <a:gsLst>
                <a:gs pos="80000">
                  <a:srgbClr val="333F50"/>
                </a:gs>
                <a:gs pos="61000">
                  <a:srgbClr val="992028">
                    <a:alpha val="100000"/>
                  </a:srgbClr>
                </a:gs>
                <a:gs pos="29000">
                  <a:srgbClr val="FF0000"/>
                </a:gs>
              </a:gsLst>
              <a:lin ang="18900000" scaled="0"/>
            </a:gradFill>
            <a:ln w="3175">
              <a:noFill/>
            </a:ln>
            <a:effectLst/>
          </c:spPr>
          <c:explosion val="0"/>
          <c:dPt>
            <c:idx val="0"/>
            <c:bubble3D val="0"/>
            <c:spPr>
              <a:solidFill>
                <a:srgbClr val="F8E4DB"/>
              </a:solidFill>
              <a:ln w="3175">
                <a:noFill/>
              </a:ln>
              <a:effectLst/>
            </c:spPr>
          </c:dPt>
          <c:dPt>
            <c:idx val="1"/>
            <c:bubble3D val="0"/>
            <c:spPr>
              <a:solidFill>
                <a:srgbClr val="EDBB72"/>
              </a:solidFill>
              <a:ln w="3175">
                <a:noFill/>
              </a:ln>
              <a:effectLst/>
            </c:spPr>
          </c:dPt>
          <c:dPt>
            <c:idx val="2"/>
            <c:bubble3D val="0"/>
            <c:spPr>
              <a:solidFill>
                <a:srgbClr val="ACDFF0"/>
              </a:solidFill>
              <a:ln w="3175">
                <a:noFill/>
              </a:ln>
              <a:effectLst/>
            </c:spPr>
          </c:dPt>
          <c:dPt>
            <c:idx val="3"/>
            <c:bubble3D val="0"/>
            <c:spPr>
              <a:solidFill>
                <a:srgbClr val="A2B5BB"/>
              </a:solidFill>
              <a:ln w="3175">
                <a:noFill/>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rgbClr val="546C72"/>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c:v>
                </c:pt>
                <c:pt idx="1">
                  <c:v>政府性基金</c:v>
                </c:pt>
                <c:pt idx="2">
                  <c:v>上级补助</c:v>
                </c:pt>
                <c:pt idx="3">
                  <c:v>事业收入</c:v>
                </c:pt>
              </c:strCache>
            </c:strRef>
          </c:cat>
          <c:val>
            <c:numRef>
              <c:f>Sheet1!$B$2:$B$5</c:f>
              <c:numCache>
                <c:formatCode>General</c:formatCode>
                <c:ptCount val="4"/>
                <c:pt idx="0">
                  <c:v>467.23</c:v>
                </c:pt>
                <c:pt idx="1">
                  <c:v>0</c:v>
                </c:pt>
                <c:pt idx="2">
                  <c:v>0</c:v>
                </c:pt>
                <c:pt idx="3">
                  <c:v>0</c:v>
                </c:pt>
              </c:numCache>
            </c:numRef>
          </c:val>
        </c:ser>
        <c:dLbls>
          <c:showLegendKey val="0"/>
          <c:showVal val="1"/>
          <c:showCatName val="0"/>
          <c:showSerName val="0"/>
          <c:showPercent val="0"/>
          <c:showBubbleSize val="0"/>
          <c:showLeaderLines val="0"/>
        </c:dLbls>
        <c:firstSliceAng val="32"/>
      </c:pieChart>
      <c:spPr>
        <a:noFill/>
        <a:ln w="3175">
          <a:noFill/>
        </a:ln>
        <a:effectLst/>
      </c:spPr>
    </c:plotArea>
    <c:legend>
      <c:legendPos val="l"/>
      <c:layout>
        <c:manualLayout>
          <c:xMode val="edge"/>
          <c:yMode val="edge"/>
          <c:x val="0.0254768748366867"/>
          <c:y val="0.329658213891951"/>
          <c:w val="0.0854455186830416"/>
          <c:h val="0.390077177508269"/>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rgbClr val="6D8B94"/>
      </a:solidFill>
      <a:round/>
    </a:ln>
    <a:effectLst>
      <a:outerShdw blurRad="63500" dist="37357" dir="2700000" sx="0" sy="0" rotWithShape="0">
        <a:scrgbClr r="0" g="0" b="0"/>
      </a:outerShdw>
    </a:effectLst>
  </c:spPr>
  <c:txPr>
    <a:bodyPr/>
    <a:lstStyle/>
    <a:p>
      <a:pPr>
        <a:defRPr lang="zh-CN">
          <a:solidFill>
            <a:srgbClr val="4B6065"/>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支出决算结构图</a:t>
            </a:r>
            <a:endParaRPr lang="zh-CN" altLang="en-US"/>
          </a:p>
        </c:rich>
      </c:tx>
      <c:layout>
        <c:manualLayout>
          <c:xMode val="edge"/>
          <c:yMode val="edge"/>
          <c:x val="0.378"/>
          <c:y val="0.0575"/>
        </c:manualLayout>
      </c:layout>
      <c:overlay val="0"/>
      <c:spPr>
        <a:noFill/>
        <a:ln>
          <a:noFill/>
        </a:ln>
        <a:effectLst/>
      </c:spPr>
    </c:title>
    <c:autoTitleDeleted val="0"/>
    <c:plotArea>
      <c:layout>
        <c:manualLayout>
          <c:layoutTarget val="inner"/>
          <c:xMode val="edge"/>
          <c:yMode val="edge"/>
          <c:x val="0.302280039166317"/>
          <c:y val="0.227642276422764"/>
          <c:w val="0.401314869212477"/>
          <c:h val="0.706824340970682"/>
        </c:manualLayout>
      </c:layout>
      <c:pieChart>
        <c:varyColors val="1"/>
        <c:ser>
          <c:idx val="0"/>
          <c:order val="0"/>
          <c:tx>
            <c:strRef>
              <c:f>Sheet1!$B$1</c:f>
              <c:strCache>
                <c:ptCount val="1"/>
                <c:pt idx="0">
                  <c:v>系列 1</c:v>
                </c:pt>
              </c:strCache>
            </c:strRef>
          </c:tx>
          <c:spPr>
            <a:solidFill>
              <a:srgbClr val="2196F3"/>
            </a:solidFill>
            <a:ln w="3175">
              <a:solidFill>
                <a:schemeClr val="bg1">
                  <a:alpha val="69000"/>
                </a:schemeClr>
              </a:solidFill>
            </a:ln>
            <a:effectLst/>
          </c:spPr>
          <c:explosion val="0"/>
          <c:dPt>
            <c:idx val="0"/>
            <c:bubble3D val="0"/>
            <c:spPr>
              <a:solidFill>
                <a:srgbClr val="BEE1FD"/>
              </a:solidFill>
              <a:ln w="3175">
                <a:solidFill>
                  <a:schemeClr val="bg1">
                    <a:alpha val="69000"/>
                  </a:schemeClr>
                </a:solidFill>
              </a:ln>
              <a:effectLst/>
            </c:spPr>
          </c:dPt>
          <c:dPt>
            <c:idx val="1"/>
            <c:bubble3D val="0"/>
            <c:spPr>
              <a:solidFill>
                <a:srgbClr val="2196F3"/>
              </a:solidFill>
              <a:ln w="136525">
                <a:solidFill>
                  <a:srgbClr val="2196F3">
                    <a:alpha val="69000"/>
                  </a:srgbClr>
                </a:solidFill>
                <a:miter lim="800000"/>
              </a:ln>
              <a:effectLst/>
            </c:spPr>
          </c:dPt>
          <c:dLbls>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rgbClr val="2196F3"/>
                    </a:solidFill>
                    <a:latin typeface="Arial" panose="020B0604020202020204" pitchFamily="7" charset="0"/>
                    <a:ea typeface="Arial" panose="020B0604020202020204" pitchFamily="7" charset="0"/>
                    <a:cs typeface="Arial" panose="020B0604020202020204" pitchFamily="7" charset="0"/>
                    <a:sym typeface="Arial" panose="020B0604020202020204" pitchFamily="7" charset="0"/>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348.7</c:v>
                </c:pt>
                <c:pt idx="1">
                  <c:v>1392.02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blipFill rotWithShape="1">
      <a:blip xmlns:r="http://schemas.openxmlformats.org/officeDocument/2006/relationships" r:embed="rId3"/>
      <a:stretch>
        <a:fillRect/>
      </a:stretch>
    </a:blip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endParaRPr lang="zh-CN" altLang="en-US"/>
          </a:p>
        </c:rich>
      </c:tx>
      <c:layout>
        <c:manualLayout>
          <c:xMode val="edge"/>
          <c:yMode val="edge"/>
          <c:x val="0.256125"/>
          <c:y val="0.0495995866701111"/>
        </c:manualLayout>
      </c:layout>
      <c:overlay val="0"/>
      <c:spPr>
        <a:noFill/>
        <a:ln>
          <a:noFill/>
        </a:ln>
        <a:effectLst/>
      </c:spPr>
    </c:title>
    <c:autoTitleDeleted val="0"/>
    <c:plotArea>
      <c:layout>
        <c:manualLayout>
          <c:layoutTarget val="inner"/>
          <c:xMode val="edge"/>
          <c:yMode val="edge"/>
          <c:x val="0.10245"/>
          <c:y val="0.363471971066908"/>
          <c:w val="0.8938"/>
          <c:h val="0.561198656677861"/>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elete val="1"/>
          </c:dLbls>
          <c:cat>
            <c:strRef>
              <c:f>Sheet1!$A$2:$A$2</c:f>
              <c:strCache>
                <c:ptCount val="1"/>
                <c:pt idx="0">
                  <c:v>收入、支出</c:v>
                </c:pt>
              </c:strCache>
            </c:strRef>
          </c:cat>
          <c:val>
            <c:numRef>
              <c:f>Sheet1!$B$2:$B$2</c:f>
              <c:numCache>
                <c:formatCode>General</c:formatCode>
                <c:ptCount val="1"/>
                <c:pt idx="0">
                  <c:v>3533.03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strRef>
              <c:f>Sheet1!$A$2:$A$2</c:f>
              <c:strCache>
                <c:ptCount val="1"/>
                <c:pt idx="0">
                  <c:v>收入、支出</c:v>
                </c:pt>
              </c:strCache>
            </c:strRef>
          </c:cat>
          <c:val>
            <c:numRef>
              <c:f>Sheet1!$C$2:$C$2</c:f>
              <c:numCache>
                <c:formatCode>General</c:formatCode>
                <c:ptCount val="1"/>
                <c:pt idx="0">
                  <c:v>2259.63</c:v>
                </c:pt>
              </c:numCache>
            </c:numRef>
          </c:val>
        </c:ser>
        <c:dLbls>
          <c:showLegendKey val="0"/>
          <c:showVal val="0"/>
          <c:showCatName val="0"/>
          <c:showSerName val="0"/>
          <c:showPercent val="0"/>
          <c:showBubbleSize val="0"/>
        </c:dLbls>
        <c:gapWidth val="219"/>
        <c:overlap val="-27"/>
        <c:axId val="925059387"/>
        <c:axId val="372939420"/>
      </c:barChart>
      <c:catAx>
        <c:axId val="925059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939420"/>
        <c:crosses val="autoZero"/>
        <c:auto val="1"/>
        <c:lblAlgn val="ctr"/>
        <c:lblOffset val="100"/>
        <c:noMultiLvlLbl val="0"/>
      </c:catAx>
      <c:valAx>
        <c:axId val="3729394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059387"/>
        <c:crosses val="autoZero"/>
        <c:crossBetween val="between"/>
      </c:valAx>
      <c:spPr>
        <a:noFill/>
        <a:ln>
          <a:noFill/>
        </a:ln>
        <a:effectLst/>
      </c:spPr>
    </c:plotArea>
    <c:legend>
      <c:legendPos val="b"/>
      <c:layout>
        <c:manualLayout>
          <c:xMode val="edge"/>
          <c:yMode val="edge"/>
          <c:x val="0.399375"/>
          <c:y val="0.9057091190906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r>
              <a:rPr lang="zh-CN" altLang="en-US"/>
              <a:t>一般公共预算财政拨款支出决算变动情况表</a:t>
            </a:r>
            <a:endParaRPr lang="zh-CN" altLang="en-US"/>
          </a:p>
        </c:rich>
      </c:tx>
      <c:layout>
        <c:manualLayout>
          <c:xMode val="edge"/>
          <c:yMode val="edge"/>
          <c:x val="0.177375"/>
          <c:y val="0.0225"/>
        </c:manualLayout>
      </c:layout>
      <c:overlay val="0"/>
      <c:spPr>
        <a:noFill/>
        <a:ln>
          <a:noFill/>
        </a:ln>
        <a:effectLst/>
      </c:spPr>
    </c:title>
    <c:autoTitleDeleted val="0"/>
    <c:plotArea>
      <c:layout>
        <c:manualLayout>
          <c:layoutTarget val="inner"/>
          <c:xMode val="edge"/>
          <c:yMode val="edge"/>
          <c:x val="0.158575"/>
          <c:y val="0.165666666666667"/>
          <c:w val="0.686175"/>
          <c:h val="0.6214"/>
        </c:manualLayout>
      </c:layout>
      <c:barChart>
        <c:barDir val="col"/>
        <c:grouping val="clustered"/>
        <c:varyColors val="0"/>
        <c:ser>
          <c:idx val="0"/>
          <c:order val="0"/>
          <c:tx>
            <c:strRef>
              <c:f>Sheet1!$B$1</c:f>
              <c:strCache>
                <c:ptCount val="1"/>
                <c:pt idx="0">
                  <c:v>2019年</c:v>
                </c:pt>
              </c:strCache>
            </c:strRef>
          </c:tx>
          <c:spPr>
            <a:solidFill>
              <a:srgbClr val="E75840"/>
            </a:solidFill>
            <a:ln>
              <a:noFill/>
            </a:ln>
            <a:effectLst/>
          </c:spPr>
          <c:invertIfNegative val="0"/>
          <c:dLbls>
            <c:delete val="1"/>
          </c:dLbls>
          <c:cat>
            <c:strRef>
              <c:f>Sheet1!$A$2</c:f>
              <c:strCache>
                <c:ptCount val="1"/>
                <c:pt idx="0">
                  <c:v>支出</c:v>
                </c:pt>
              </c:strCache>
            </c:strRef>
          </c:cat>
          <c:val>
            <c:numRef>
              <c:f>Sheet1!$B$2</c:f>
              <c:numCache>
                <c:formatCode>General</c:formatCode>
                <c:ptCount val="1"/>
                <c:pt idx="0">
                  <c:v>2397.16</c:v>
                </c:pt>
              </c:numCache>
            </c:numRef>
          </c:val>
        </c:ser>
        <c:ser>
          <c:idx val="1"/>
          <c:order val="1"/>
          <c:tx>
            <c:strRef>
              <c:f>Sheet1!$C$1</c:f>
              <c:strCache>
                <c:ptCount val="1"/>
                <c:pt idx="0">
                  <c:v>2020年</c:v>
                </c:pt>
              </c:strCache>
            </c:strRef>
          </c:tx>
          <c:spPr>
            <a:solidFill>
              <a:srgbClr val="A565EF"/>
            </a:solidFill>
            <a:ln>
              <a:noFill/>
            </a:ln>
            <a:effectLst/>
          </c:spPr>
          <c:invertIfNegative val="0"/>
          <c:dLbls>
            <c:delete val="1"/>
          </c:dLbls>
          <c:cat>
            <c:strRef>
              <c:f>Sheet1!$A$2</c:f>
              <c:strCache>
                <c:ptCount val="1"/>
                <c:pt idx="0">
                  <c:v>支出</c:v>
                </c:pt>
              </c:strCache>
            </c:strRef>
          </c:cat>
          <c:val>
            <c:numRef>
              <c:f>Sheet1!$C$2</c:f>
              <c:numCache>
                <c:formatCode>General</c:formatCode>
                <c:ptCount val="1"/>
                <c:pt idx="0">
                  <c:v>1074.72</c:v>
                </c:pt>
              </c:numCache>
            </c:numRef>
          </c:val>
        </c:ser>
        <c:ser>
          <c:idx val="2"/>
          <c:order val="2"/>
          <c:tx>
            <c:strRef>
              <c:f>Sheet1!#REF!</c:f>
              <c:strCache>
                <c:ptCount val="1"/>
                <c:pt idx="0">
                  <c:v/>
                </c:pt>
              </c:strCache>
            </c:strRef>
          </c:tx>
          <c:spPr>
            <a:solidFill>
              <a:srgbClr val="628CEE"/>
            </a:solidFill>
            <a:ln>
              <a:noFill/>
            </a:ln>
            <a:effectLst/>
          </c:spPr>
          <c:invertIfNegative val="0"/>
          <c:dLbls>
            <c:delete val="1"/>
          </c:dLbls>
          <c:cat>
            <c:strRef>
              <c:f>Sheet1!$A$2</c:f>
              <c:strCache>
                <c:ptCount val="1"/>
                <c:pt idx="0">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2592439"/>
        <c:axId val="518410690"/>
      </c:barChart>
      <c:catAx>
        <c:axId val="125924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crossAx val="518410690"/>
        <c:crosses val="autoZero"/>
        <c:auto val="1"/>
        <c:lblAlgn val="ctr"/>
        <c:lblOffset val="100"/>
        <c:noMultiLvlLbl val="0"/>
      </c:catAx>
      <c:valAx>
        <c:axId val="518410690"/>
        <c:scaling>
          <c:orientation val="minMax"/>
        </c:scaling>
        <c:delete val="0"/>
        <c:axPos val="l"/>
        <c:majorGridlines>
          <c:spPr>
            <a:ln w="12700" cap="flat" cmpd="sng" algn="ctr">
              <a:solidFill>
                <a:srgbClr val="EBEBEB"/>
              </a:solidFill>
              <a:prstDash val="dash"/>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crossAx val="12592439"/>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legend>
    <c:plotVisOnly val="1"/>
    <c:dispBlanksAs val="gap"/>
    <c:showDLblsOverMax val="0"/>
  </c:chart>
  <c:spPr>
    <a:solidFill>
      <a:schemeClr val="bg1"/>
    </a:solidFill>
    <a:ln w="50800" cap="flat" cmpd="sng" algn="ctr">
      <a:solidFill>
        <a:srgbClr val="E75840"/>
      </a:solidFill>
      <a:prstDash val="solid"/>
      <a:round/>
    </a:ln>
    <a:effectLst/>
  </c:spPr>
  <c:txPr>
    <a:bodyPr/>
    <a:lstStyle/>
    <a:p>
      <a:pPr>
        <a:defRPr lang="zh-CN">
          <a:latin typeface="汉仪旗黑-55简" panose="00020600040101010101" charset="-122"/>
          <a:ea typeface="汉仪旗黑-55简" panose="00020600040101010101" charset="-122"/>
          <a:cs typeface="汉仪旗黑-55简" panose="00020600040101010101" charset="-122"/>
          <a:sym typeface="汉仪旗黑-55简" panose="0002060004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rgbClr val="52657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一般公共预算财政拨款支出决算结构图</a:t>
            </a:r>
            <a:endParaRPr lang="zh-CN" altLang="en-US"/>
          </a:p>
        </c:rich>
      </c:tx>
      <c:layout>
        <c:manualLayout>
          <c:xMode val="edge"/>
          <c:yMode val="edge"/>
          <c:x val="0.196125"/>
          <c:y val="0.0175"/>
        </c:manualLayout>
      </c:layout>
      <c:overlay val="0"/>
      <c:spPr>
        <a:noFill/>
        <a:ln>
          <a:noFill/>
        </a:ln>
        <a:effectLst/>
      </c:spPr>
    </c:title>
    <c:autoTitleDeleted val="0"/>
    <c:plotArea>
      <c:layout>
        <c:manualLayout>
          <c:layoutTarget val="inner"/>
          <c:xMode val="edge"/>
          <c:yMode val="edge"/>
          <c:x val="0.272700857184367"/>
          <c:y val="0.200043020004302"/>
          <c:w val="0.485108237687055"/>
          <c:h val="0.718218971821897"/>
        </c:manualLayout>
      </c:layout>
      <c:pieChart>
        <c:varyColors val="1"/>
        <c:ser>
          <c:idx val="0"/>
          <c:order val="0"/>
          <c:tx>
            <c:strRef>
              <c:f>Sheet1!$B$1</c:f>
              <c:strCache>
                <c:ptCount val="1"/>
                <c:pt idx="0">
                  <c:v>系列 1</c:v>
                </c:pt>
              </c:strCache>
            </c:strRef>
          </c:tx>
          <c:spPr>
            <a:ln w="3175">
              <a:solidFill>
                <a:schemeClr val="bg1">
                  <a:alpha val="70000"/>
                </a:schemeClr>
              </a:solidFill>
            </a:ln>
          </c:spPr>
          <c:explosion val="0"/>
          <c:dPt>
            <c:idx val="0"/>
            <c:bubble3D val="0"/>
            <c:spPr>
              <a:solidFill>
                <a:srgbClr val="016096"/>
              </a:solidFill>
              <a:ln w="3175">
                <a:solidFill>
                  <a:schemeClr val="bg1">
                    <a:alpha val="70000"/>
                  </a:schemeClr>
                </a:solidFill>
              </a:ln>
              <a:effectLst/>
            </c:spPr>
          </c:dPt>
          <c:dPt>
            <c:idx val="1"/>
            <c:bubble3D val="0"/>
            <c:spPr>
              <a:solidFill>
                <a:srgbClr val="D14C29"/>
              </a:solidFill>
              <a:ln w="3175">
                <a:solidFill>
                  <a:schemeClr val="bg1">
                    <a:alpha val="70000"/>
                  </a:schemeClr>
                </a:solidFill>
              </a:ln>
              <a:effectLst/>
            </c:spPr>
          </c:dPt>
          <c:dPt>
            <c:idx val="2"/>
            <c:bubble3D val="0"/>
            <c:spPr>
              <a:solidFill>
                <a:srgbClr val="655383"/>
              </a:solidFill>
              <a:ln w="3175">
                <a:solidFill>
                  <a:schemeClr val="bg1">
                    <a:alpha val="70000"/>
                  </a:schemeClr>
                </a:solidFill>
              </a:ln>
              <a:effectLst/>
            </c:spPr>
          </c:dPt>
          <c:dPt>
            <c:idx val="3"/>
            <c:bubble3D val="0"/>
            <c:spPr>
              <a:solidFill>
                <a:srgbClr val="FFD85F"/>
              </a:solidFill>
              <a:ln w="3175">
                <a:solidFill>
                  <a:schemeClr val="bg1">
                    <a:alpha val="70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c:v>
                </c:pt>
                <c:pt idx="1">
                  <c:v>社会保障和就业</c:v>
                </c:pt>
                <c:pt idx="2">
                  <c:v>卫生健康</c:v>
                </c:pt>
                <c:pt idx="3">
                  <c:v>住房保障</c:v>
                </c:pt>
              </c:strCache>
            </c:strRef>
          </c:cat>
          <c:val>
            <c:numRef>
              <c:f>Sheet1!$B$2:$B$5</c:f>
              <c:numCache>
                <c:formatCode>General</c:formatCode>
                <c:ptCount val="4"/>
                <c:pt idx="0">
                  <c:v>1676.96</c:v>
                </c:pt>
                <c:pt idx="1">
                  <c:v>19.86</c:v>
                </c:pt>
                <c:pt idx="2">
                  <c:v>29.63</c:v>
                </c:pt>
                <c:pt idx="3">
                  <c:v>19.27</c:v>
                </c:pt>
              </c:numCache>
            </c:numRef>
          </c:val>
        </c:ser>
        <c:ser>
          <c:idx val="1"/>
          <c:order val="1"/>
          <c:tx>
            <c:strRef>
              <c:f>Sheet1!#REF!</c:f>
              <c:strCache>
                <c:ptCount val="1"/>
                <c:pt idx="0">
                  <c:v/>
                </c:pt>
              </c:strCache>
            </c:strRef>
          </c:tx>
          <c:spPr>
            <a:ln w="3175">
              <a:solidFill>
                <a:schemeClr val="bg1">
                  <a:alpha val="70000"/>
                </a:schemeClr>
              </a:solidFill>
            </a:ln>
          </c:spPr>
          <c:explosion val="0"/>
          <c:dPt>
            <c:idx val="0"/>
            <c:bubble3D val="0"/>
            <c:spPr>
              <a:solidFill>
                <a:srgbClr val="016096"/>
              </a:solidFill>
              <a:ln w="3175">
                <a:solidFill>
                  <a:schemeClr val="bg1">
                    <a:alpha val="70000"/>
                  </a:schemeClr>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2657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c:v>
                </c:pt>
                <c:pt idx="1">
                  <c:v>社会保障和就业</c:v>
                </c:pt>
                <c:pt idx="2">
                  <c:v>卫生健康</c:v>
                </c:pt>
                <c:pt idx="3">
                  <c:v>住房保障</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ln w="3175">
              <a:solidFill>
                <a:schemeClr val="bg1">
                  <a:alpha val="70000"/>
                </a:schemeClr>
              </a:solidFill>
            </a:ln>
          </c:spPr>
          <c:explosion val="0"/>
          <c:dPt>
            <c:idx val="0"/>
            <c:bubble3D val="0"/>
            <c:spPr>
              <a:solidFill>
                <a:srgbClr val="016096"/>
              </a:solidFill>
              <a:ln w="3175">
                <a:solidFill>
                  <a:schemeClr val="bg1">
                    <a:alpha val="70000"/>
                  </a:schemeClr>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52657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c:v>
                </c:pt>
                <c:pt idx="1">
                  <c:v>社会保障和就业</c:v>
                </c:pt>
                <c:pt idx="2">
                  <c:v>卫生健康</c:v>
                </c:pt>
                <c:pt idx="3">
                  <c:v>住房保障</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0"/>
        </c:dLbls>
        <c:firstSliceAng val="0"/>
      </c:pieChart>
      <c:spPr>
        <a:noFill/>
        <a:ln>
          <a:noFill/>
        </a:ln>
        <a:effectLst/>
      </c:spPr>
    </c:plotArea>
    <c:legend>
      <c:legendPos val="l"/>
      <c:layout>
        <c:manualLayout>
          <c:xMode val="edge"/>
          <c:yMode val="edge"/>
          <c:x val="0.0174342583175941"/>
          <c:y val="0.258120025812003"/>
          <c:w val="0.126398372802557"/>
          <c:h val="0.51408905140890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52657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25400" cap="flat" cmpd="sng" algn="ctr">
      <a:solidFill>
        <a:srgbClr val="016096"/>
      </a:solidFill>
      <a:round/>
    </a:ln>
    <a:effectLst>
      <a:outerShdw blurRad="63500" dist="37357" dir="2700000" sx="0" sy="0" rotWithShape="0">
        <a:scrgbClr r="0" g="0" b="0"/>
      </a:outerShdw>
    </a:effectLst>
  </c:spPr>
  <c:txPr>
    <a:bodyPr/>
    <a:lstStyle/>
    <a:p>
      <a:pPr>
        <a:defRPr lang="zh-CN">
          <a:solidFill>
            <a:srgbClr val="52657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rgbClr val="00424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zh-CN" altLang="en-US"/>
              <a:t>三公经费财政拨款支出结构</a:t>
            </a:r>
            <a:endParaRPr lang="zh-CN" altLang="en-US"/>
          </a:p>
        </c:rich>
      </c:tx>
      <c:layout/>
      <c:overlay val="0"/>
      <c:spPr>
        <a:noFill/>
        <a:ln>
          <a:noFill/>
        </a:ln>
        <a:effectLst/>
      </c:spPr>
    </c:title>
    <c:autoTitleDeleted val="0"/>
    <c:plotArea>
      <c:layout>
        <c:manualLayout>
          <c:layoutTarget val="inner"/>
          <c:xMode val="edge"/>
          <c:yMode val="edge"/>
          <c:x val="0.251377426406901"/>
          <c:y val="0.190189328743546"/>
          <c:w val="0.484314738933981"/>
          <c:h val="0.717198439776806"/>
        </c:manualLayout>
      </c:layout>
      <c:pieChart>
        <c:varyColors val="1"/>
        <c:ser>
          <c:idx val="1"/>
          <c:order val="0"/>
          <c:tx>
            <c:strRef>
              <c:f>Sheet1!$B$1</c:f>
              <c:strCache>
                <c:ptCount val="1"/>
                <c:pt idx="0">
                  <c:v>支出</c:v>
                </c:pt>
              </c:strCache>
            </c:strRef>
          </c:tx>
          <c:spPr>
            <a:solidFill>
              <a:srgbClr val="92D050"/>
            </a:solidFill>
            <a:ln w="6350">
              <a:solidFill>
                <a:schemeClr val="bg1">
                  <a:lumMod val="95000"/>
                  <a:alpha val="50000"/>
                </a:schemeClr>
              </a:solidFill>
            </a:ln>
            <a:effectLst/>
          </c:spPr>
          <c:explosion val="0"/>
          <c:dPt>
            <c:idx val="0"/>
            <c:bubble3D val="0"/>
            <c:spPr>
              <a:solidFill>
                <a:srgbClr val="6B7D87"/>
              </a:solidFill>
              <a:ln w="6350">
                <a:solidFill>
                  <a:schemeClr val="bg1">
                    <a:lumMod val="95000"/>
                    <a:alpha val="50000"/>
                  </a:schemeClr>
                </a:solidFill>
              </a:ln>
              <a:effectLst/>
            </c:spPr>
          </c:dPt>
          <c:dPt>
            <c:idx val="1"/>
            <c:bubble3D val="0"/>
            <c:spPr>
              <a:solidFill>
                <a:srgbClr val="417779"/>
              </a:solidFill>
              <a:ln w="6350">
                <a:solidFill>
                  <a:schemeClr val="bg1">
                    <a:lumMod val="95000"/>
                    <a:alpha val="50000"/>
                  </a:schemeClr>
                </a:solidFill>
              </a:ln>
              <a:effectLst/>
            </c:spPr>
          </c:dPt>
          <c:dLbls>
            <c:spPr>
              <a:noFill/>
              <a:ln>
                <a:no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公务用车</c:v>
                </c:pt>
                <c:pt idx="1">
                  <c:v>公务接待</c:v>
                </c:pt>
              </c:strCache>
            </c:strRef>
          </c:cat>
          <c:val>
            <c:numRef>
              <c:f>Sheet1!$B$2:$B$3</c:f>
              <c:numCache>
                <c:formatCode>General</c:formatCode>
                <c:ptCount val="2"/>
                <c:pt idx="0">
                  <c:v>2.88</c:v>
                </c:pt>
                <c:pt idx="1">
                  <c:v>0.66</c:v>
                </c:pt>
              </c:numCache>
            </c:numRef>
          </c:val>
        </c:ser>
        <c:ser>
          <c:idx val="0"/>
          <c:order val="1"/>
          <c:tx>
            <c:strRef>
              <c:f>Sheet1!#REF!</c:f>
              <c:strCache>
                <c:ptCount val="1"/>
                <c:pt idx="0">
                  <c:v/>
                </c:pt>
              </c:strCache>
            </c:strRef>
          </c:tx>
          <c:spPr>
            <a:solidFill>
              <a:srgbClr val="92D050"/>
            </a:solidFill>
            <a:ln w="6350">
              <a:solidFill>
                <a:schemeClr val="bg1">
                  <a:lumMod val="95000"/>
                  <a:alpha val="50000"/>
                </a:schemeClr>
              </a:solidFill>
            </a:ln>
            <a:effectLst/>
          </c:spPr>
          <c:explosion val="0"/>
          <c:dPt>
            <c:idx val="0"/>
            <c:bubble3D val="0"/>
            <c:spPr>
              <a:solidFill>
                <a:srgbClr val="6B7D87"/>
              </a:solidFill>
              <a:ln w="6350">
                <a:solidFill>
                  <a:schemeClr val="bg1">
                    <a:lumMod val="95000"/>
                    <a:alpha val="50000"/>
                  </a:schemeClr>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424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公务用车</c:v>
                </c:pt>
                <c:pt idx="1">
                  <c:v>公务接待</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rgbClr val="92D050"/>
            </a:solidFill>
            <a:ln w="6350">
              <a:solidFill>
                <a:schemeClr val="bg1">
                  <a:lumMod val="95000"/>
                  <a:alpha val="50000"/>
                </a:schemeClr>
              </a:solidFill>
            </a:ln>
            <a:effectLst/>
          </c:spPr>
          <c:explosion val="0"/>
          <c:dPt>
            <c:idx val="0"/>
            <c:bubble3D val="0"/>
            <c:spPr>
              <a:solidFill>
                <a:srgbClr val="6B7D87"/>
              </a:solidFill>
              <a:ln w="6350">
                <a:solidFill>
                  <a:schemeClr val="bg1">
                    <a:lumMod val="95000"/>
                    <a:alpha val="50000"/>
                  </a:schemeClr>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424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公务用车</c:v>
                </c:pt>
                <c:pt idx="1">
                  <c:v>公务接待</c:v>
                </c:pt>
              </c:strCache>
            </c:strRef>
          </c:cat>
          <c:val>
            <c:numRef>
              <c:f>Sheet1!#REF!</c:f>
              <c:numCache>
                <c:formatCode>General</c:formatCode>
                <c:ptCount val="1"/>
                <c:pt idx="0">
                  <c:v>1</c:v>
                </c:pt>
              </c:numCache>
            </c:numRef>
          </c:val>
        </c:ser>
        <c:dLbls>
          <c:showLegendKey val="0"/>
          <c:showVal val="0"/>
          <c:showCatName val="0"/>
          <c:showSerName val="0"/>
          <c:showPercent val="1"/>
          <c:showBubbleSize val="0"/>
          <c:showLeaderLines val="0"/>
        </c:dLbls>
        <c:firstSliceAng val="10"/>
      </c:pieChart>
      <c:spPr>
        <a:solidFill>
          <a:schemeClr val="bg1">
            <a:alpha val="40000"/>
          </a:schemeClr>
        </a:solidFill>
        <a:ln w="12700">
          <a:noFill/>
        </a:ln>
        <a:effectLst/>
      </c:spPr>
    </c:plotArea>
    <c:legend>
      <c:legendPos val="r"/>
      <c:layout>
        <c:manualLayout>
          <c:xMode val="edge"/>
          <c:yMode val="edge"/>
          <c:x val="0.884352753159959"/>
          <c:y val="0.324440619621343"/>
          <c:w val="0.0964695626906872"/>
          <c:h val="0.410929432013769"/>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rgbClr val="00424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3175" cap="flat" cmpd="sng" algn="ctr">
      <a:solidFill>
        <a:schemeClr val="bg1">
          <a:lumMod val="85000"/>
        </a:schemeClr>
      </a:solidFill>
      <a:round/>
    </a:ln>
    <a:effectLst>
      <a:outerShdw blurRad="63500" dist="37357" dir="2700000" sx="0" sy="0" rotWithShape="0">
        <a:scrgbClr r="0" g="0" b="0"/>
      </a:outerShdw>
    </a:effectLst>
  </c:spPr>
  <c:txPr>
    <a:bodyPr/>
    <a:lstStyle/>
    <a:p>
      <a:pPr>
        <a:defRPr lang="zh-CN">
          <a:solidFill>
            <a:srgbClr val="004248"/>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2168</Words>
  <Characters>12364</Characters>
  <Lines>103</Lines>
  <Paragraphs>29</Paragraphs>
  <TotalTime>2</TotalTime>
  <ScaleCrop>false</ScaleCrop>
  <LinksUpToDate>false</LinksUpToDate>
  <CharactersWithSpaces>14503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uos</cp:lastModifiedBy>
  <cp:lastPrinted>2021-07-29T11:56:00Z</cp:lastPrinted>
  <dcterms:modified xsi:type="dcterms:W3CDTF">2022-07-13T18:28:41Z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F83FE914E0344D02BCCFC363483D3A2C</vt:lpwstr>
  </property>
</Properties>
</file>